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08B86B" wp14:paraId="70F1FAAD" wp14:textId="52AAAE88">
      <w:pPr>
        <w:pStyle w:val="Heading3"/>
        <w:shd w:val="clear" w:color="auto" w:fill="FFFFFF" w:themeFill="background1"/>
        <w:spacing w:before="0" w:beforeAutospacing="off" w:after="206" w:afterAutospacing="off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Submodality Rewire Protocol: From Craving to Control</w:t>
      </w:r>
    </w:p>
    <w:p xmlns:wp14="http://schemas.microsoft.com/office/word/2010/wordml" w:rsidP="4408B86B" wp14:paraId="00628155" wp14:textId="2E1A8CEC">
      <w:pPr>
        <w:shd w:val="clear" w:color="auto" w:fill="FFFFFF" w:themeFill="background1"/>
        <w:spacing w:before="206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(Corporate Performance Optimization Edition)</w:t>
      </w:r>
    </w:p>
    <w:p xmlns:wp14="http://schemas.microsoft.com/office/word/2010/wordml" w:rsidP="4408B86B" wp14:paraId="51729E76" wp14:textId="0B5ECEB5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1: Target Identification</w:t>
      </w:r>
    </w:p>
    <w:p xmlns:wp14="http://schemas.microsoft.com/office/word/2010/wordml" w:rsidP="4408B86B" wp14:paraId="365EAF86" wp14:textId="3B857C55">
      <w:pPr>
        <w:shd w:val="clear" w:color="auto" w:fill="FFFFFF" w:themeFill="background1"/>
        <w:spacing w:before="206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Script:</w:t>
      </w:r>
      <w:r>
        <w:br/>
      </w: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"Identify one indulgence that sabotages your peak performance—maybe those 3pm sugar crashes from bakery runs. Now, recall a similar but revolting food (e.g., if it's donuts, think of soggy cafeteria pudding)."</w:t>
      </w:r>
    </w:p>
    <w:p xmlns:wp14="http://schemas.microsoft.com/office/word/2010/wordml" w:rsidP="4408B86B" wp14:paraId="30867A33" wp14:textId="7F2D90E4">
      <w:pPr>
        <w:shd w:val="clear" w:color="auto" w:fill="FFFFFF" w:themeFill="background1"/>
        <w:spacing w:before="206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</w:p>
    <w:p xmlns:wp14="http://schemas.microsoft.com/office/word/2010/wordml" w:rsidP="4408B86B" wp14:paraId="1631A998" wp14:textId="68151B4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Must be </w:t>
      </w: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same category</w:t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(food→food, not food→mud)</w:t>
      </w:r>
    </w:p>
    <w:p xmlns:wp14="http://schemas.microsoft.com/office/word/2010/wordml" w:rsidP="4408B86B" wp14:paraId="4416AE38" wp14:textId="465511A1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Client must </w:t>
      </w: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viscerally dislike</w:t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 comparison item</w:t>
      </w:r>
    </w:p>
    <w:p xmlns:wp14="http://schemas.microsoft.com/office/word/2010/wordml" wp14:paraId="56792CD0" wp14:textId="2ADB3D76"/>
    <w:p xmlns:wp14="http://schemas.microsoft.com/office/word/2010/wordml" w:rsidP="4408B86B" wp14:paraId="3389EBE9" wp14:textId="49F45324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2: Submodality Forensics</w:t>
      </w:r>
    </w:p>
    <w:p xmlns:wp14="http://schemas.microsoft.com/office/word/2010/wordml" w:rsidP="4408B86B" wp14:paraId="0FC5FF18" wp14:textId="3334E262">
      <w:pPr>
        <w:shd w:val="clear" w:color="auto" w:fill="FFFFFF" w:themeFill="background1"/>
        <w:spacing w:before="206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Contrastive Analysis: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800"/>
        <w:gridCol w:w="2215"/>
        <w:gridCol w:w="3405"/>
      </w:tblGrid>
      <w:tr w:rsidR="4408B86B" w:rsidTr="4408B86B" w14:paraId="59CF86C8">
        <w:trPr>
          <w:trHeight w:val="300"/>
        </w:trPr>
        <w:tc>
          <w:tcPr>
            <w:tcW w:w="1800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4408B86B" w:rsidP="4408B86B" w:rsidRDefault="4408B86B" w14:paraId="5B293E47" w14:textId="06D0412F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4408B86B" w:rsidR="4408B86B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Variable</w:t>
            </w:r>
          </w:p>
        </w:tc>
        <w:tc>
          <w:tcPr>
            <w:tcW w:w="2215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4408B86B" w:rsidP="4408B86B" w:rsidRDefault="4408B86B" w14:paraId="7A37208C" w14:textId="48A80095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4408B86B" w:rsidR="4408B86B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Liked Item (Donut)</w:t>
            </w:r>
          </w:p>
        </w:tc>
        <w:tc>
          <w:tcPr>
            <w:tcW w:w="3405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4408B86B" w:rsidP="4408B86B" w:rsidRDefault="4408B86B" w14:paraId="454DD0A3" w14:textId="7E7662BE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4408B86B" w:rsidR="4408B86B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Disliked Item (Soggy Pudding)</w:t>
            </w:r>
          </w:p>
        </w:tc>
      </w:tr>
      <w:tr w:rsidR="4408B86B" w:rsidTr="4408B86B" w14:paraId="0D92ADCF">
        <w:trPr>
          <w:trHeight w:val="300"/>
        </w:trPr>
        <w:tc>
          <w:tcPr>
            <w:tcW w:w="180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4408B86B" w:rsidP="4408B86B" w:rsidRDefault="4408B86B" w14:paraId="2DD4A6C0" w14:textId="13F77BD4">
            <w:pPr>
              <w:shd w:val="clear" w:color="auto" w:fill="FFFFFF" w:themeFill="background1"/>
              <w:spacing w:before="0" w:beforeAutospacing="off" w:after="0" w:afterAutospacing="off"/>
            </w:pPr>
            <w:r w:rsidRPr="4408B86B" w:rsidR="4408B86B">
              <w:rPr>
                <w:i w:val="1"/>
                <w:iCs w:val="1"/>
                <w:sz w:val="22"/>
                <w:szCs w:val="22"/>
              </w:rPr>
              <w:t>Visual Location</w:t>
            </w:r>
          </w:p>
        </w:tc>
        <w:tc>
          <w:tcPr>
            <w:tcW w:w="2215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4408B86B" w:rsidP="4408B86B" w:rsidRDefault="4408B86B" w14:paraId="1980EB88" w14:textId="6B82B4D5">
            <w:pPr>
              <w:shd w:val="clear" w:color="auto" w:fill="FFFFFF" w:themeFill="background1"/>
              <w:spacing w:before="0" w:beforeAutospacing="off" w:after="0" w:afterAutospacing="off"/>
            </w:pPr>
            <w:r w:rsidRPr="4408B86B" w:rsidR="4408B86B">
              <w:rPr>
                <w:sz w:val="22"/>
                <w:szCs w:val="22"/>
              </w:rPr>
              <w:t>Front/center</w:t>
            </w:r>
          </w:p>
        </w:tc>
        <w:tc>
          <w:tcPr>
            <w:tcW w:w="3405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4408B86B" w:rsidP="4408B86B" w:rsidRDefault="4408B86B" w14:paraId="373335B7" w14:textId="35449130">
            <w:pPr>
              <w:shd w:val="clear" w:color="auto" w:fill="FFFFFF" w:themeFill="background1"/>
              <w:spacing w:before="0" w:beforeAutospacing="off" w:after="0" w:afterAutospacing="off"/>
            </w:pPr>
            <w:r w:rsidRPr="4408B86B" w:rsidR="4408B86B">
              <w:rPr>
                <w:sz w:val="22"/>
                <w:szCs w:val="22"/>
              </w:rPr>
              <w:t>Peripheral left</w:t>
            </w:r>
          </w:p>
        </w:tc>
      </w:tr>
      <w:tr w:rsidR="4408B86B" w:rsidTr="4408B86B" w14:paraId="576D7806">
        <w:trPr>
          <w:trHeight w:val="300"/>
        </w:trPr>
        <w:tc>
          <w:tcPr>
            <w:tcW w:w="180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4408B86B" w:rsidP="4408B86B" w:rsidRDefault="4408B86B" w14:paraId="6AFCBB69" w14:textId="60C29078">
            <w:pPr>
              <w:shd w:val="clear" w:color="auto" w:fill="FFFFFF" w:themeFill="background1"/>
              <w:spacing w:before="0" w:beforeAutospacing="off" w:after="0" w:afterAutospacing="off"/>
            </w:pPr>
            <w:r w:rsidRPr="4408B86B" w:rsidR="4408B86B">
              <w:rPr>
                <w:i w:val="1"/>
                <w:iCs w:val="1"/>
                <w:sz w:val="22"/>
                <w:szCs w:val="22"/>
              </w:rPr>
              <w:t>Brightness</w:t>
            </w:r>
          </w:p>
        </w:tc>
        <w:tc>
          <w:tcPr>
            <w:tcW w:w="2215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4408B86B" w:rsidP="4408B86B" w:rsidRDefault="4408B86B" w14:paraId="7ECD24F0" w14:textId="406FB2B9">
            <w:pPr>
              <w:shd w:val="clear" w:color="auto" w:fill="FFFFFF" w:themeFill="background1"/>
              <w:spacing w:before="0" w:beforeAutospacing="off" w:after="0" w:afterAutospacing="off"/>
            </w:pPr>
            <w:r w:rsidRPr="4408B86B" w:rsidR="4408B86B">
              <w:rPr>
                <w:sz w:val="22"/>
                <w:szCs w:val="22"/>
              </w:rPr>
              <w:t>Glowing</w:t>
            </w:r>
          </w:p>
        </w:tc>
        <w:tc>
          <w:tcPr>
            <w:tcW w:w="3405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4408B86B" w:rsidP="4408B86B" w:rsidRDefault="4408B86B" w14:paraId="080974BD" w14:textId="5B05AAEE">
            <w:pPr>
              <w:shd w:val="clear" w:color="auto" w:fill="FFFFFF" w:themeFill="background1"/>
              <w:spacing w:before="0" w:beforeAutospacing="off" w:after="0" w:afterAutospacing="off"/>
            </w:pPr>
            <w:r w:rsidRPr="4408B86B" w:rsidR="4408B86B">
              <w:rPr>
                <w:sz w:val="22"/>
                <w:szCs w:val="22"/>
              </w:rPr>
              <w:t>Faded</w:t>
            </w:r>
          </w:p>
        </w:tc>
      </w:tr>
      <w:tr w:rsidR="4408B86B" w:rsidTr="4408B86B" w14:paraId="49CA3A26">
        <w:trPr>
          <w:trHeight w:val="300"/>
        </w:trPr>
        <w:tc>
          <w:tcPr>
            <w:tcW w:w="180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4408B86B" w:rsidP="4408B86B" w:rsidRDefault="4408B86B" w14:paraId="53A10F95" w14:textId="27D23115">
            <w:pPr>
              <w:shd w:val="clear" w:color="auto" w:fill="FFFFFF" w:themeFill="background1"/>
              <w:spacing w:before="0" w:beforeAutospacing="off" w:after="0" w:afterAutospacing="off"/>
            </w:pPr>
            <w:r w:rsidRPr="4408B86B" w:rsidR="4408B86B">
              <w:rPr>
                <w:i w:val="1"/>
                <w:iCs w:val="1"/>
                <w:sz w:val="22"/>
                <w:szCs w:val="22"/>
              </w:rPr>
              <w:t>Association</w:t>
            </w:r>
          </w:p>
        </w:tc>
        <w:tc>
          <w:tcPr>
            <w:tcW w:w="2215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4408B86B" w:rsidP="4408B86B" w:rsidRDefault="4408B86B" w14:paraId="0A3D93FE" w14:textId="4F668D9E">
            <w:pPr>
              <w:shd w:val="clear" w:color="auto" w:fill="FFFFFF" w:themeFill="background1"/>
              <w:spacing w:before="0" w:beforeAutospacing="off" w:after="0" w:afterAutospacing="off"/>
            </w:pPr>
            <w:r w:rsidRPr="4408B86B" w:rsidR="4408B86B">
              <w:rPr>
                <w:sz w:val="22"/>
                <w:szCs w:val="22"/>
              </w:rPr>
              <w:t>"Tasting it now"</w:t>
            </w:r>
          </w:p>
        </w:tc>
        <w:tc>
          <w:tcPr>
            <w:tcW w:w="3405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4408B86B" w:rsidP="4408B86B" w:rsidRDefault="4408B86B" w14:paraId="7D2638F1" w14:textId="1814FC89">
            <w:pPr>
              <w:shd w:val="clear" w:color="auto" w:fill="FFFFFF" w:themeFill="background1"/>
              <w:spacing w:before="0" w:beforeAutospacing="off" w:after="0" w:afterAutospacing="off"/>
            </w:pPr>
            <w:r w:rsidRPr="4408B86B" w:rsidR="4408B86B">
              <w:rPr>
                <w:sz w:val="22"/>
                <w:szCs w:val="22"/>
              </w:rPr>
              <w:t>"Watching myself eat"</w:t>
            </w:r>
          </w:p>
        </w:tc>
      </w:tr>
    </w:tbl>
    <w:p xmlns:wp14="http://schemas.microsoft.com/office/word/2010/wordml" w:rsidP="4408B86B" wp14:paraId="7988C688" wp14:textId="4CDA28DE">
      <w:pPr>
        <w:shd w:val="clear" w:color="auto" w:fill="FFFFFF" w:themeFill="background1"/>
        <w:spacing w:before="206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Insight:</w:t>
      </w:r>
    </w:p>
    <w:p xmlns:wp14="http://schemas.microsoft.com/office/word/2010/wordml" w:rsidP="4408B86B" wp14:paraId="5356AE7E" wp14:textId="27EE545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Location is King:</w:t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78% of effective rewires hinge on spatial repositioning (Mackay Solutions 2023 data)</w:t>
      </w:r>
    </w:p>
    <w:p xmlns:wp14="http://schemas.microsoft.com/office/word/2010/wordml" w:rsidP="4408B86B" wp14:paraId="357D0F67" wp14:textId="077FA126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Secondary Drivers:</w:t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Dissociation + desaturation amplify effects</w:t>
      </w:r>
    </w:p>
    <w:p xmlns:wp14="http://schemas.microsoft.com/office/word/2010/wordml" wp14:paraId="500E3569" wp14:textId="2EE9A9DB"/>
    <w:p xmlns:wp14="http://schemas.microsoft.com/office/word/2010/wordml" w:rsidP="4408B86B" wp14:paraId="4C7CF4F9" wp14:textId="61AF591F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3: The Swap</w:t>
      </w:r>
    </w:p>
    <w:p xmlns:wp14="http://schemas.microsoft.com/office/word/2010/wordml" w:rsidP="4408B86B" wp14:paraId="09BAEDD6" wp14:textId="1BB176FE">
      <w:pPr>
        <w:shd w:val="clear" w:color="auto" w:fill="FFFFFF" w:themeFill="background1"/>
        <w:spacing w:before="206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Neurological Overwrite Process:</w:t>
      </w:r>
    </w:p>
    <w:p xmlns:wp14="http://schemas.microsoft.com/office/word/2010/wordml" w:rsidP="4408B86B" wp14:paraId="29B0E998" wp14:textId="5C50BA0F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"Take that donut image and push it to where the pudding lives—11 o’clock, dim and distant."</w:t>
      </w:r>
    </w:p>
    <w:p xmlns:wp14="http://schemas.microsoft.com/office/word/2010/wordml" w:rsidP="4408B86B" wp14:paraId="2661BCA6" wp14:textId="0941E6EB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"Now view yourself eating it like a bad CCTV footage."</w:t>
      </w:r>
    </w:p>
    <w:p xmlns:wp14="http://schemas.microsoft.com/office/word/2010/wordml" w:rsidP="4408B86B" wp14:paraId="231112DA" wp14:textId="0F9F1DA0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"Notice how your gut reaction shifts."</w:t>
      </w:r>
    </w:p>
    <w:p xmlns:wp14="http://schemas.microsoft.com/office/word/2010/wordml" w:rsidP="4408B86B" wp14:paraId="3B14ABBC" wp14:textId="6AB24ABD">
      <w:pPr>
        <w:shd w:val="clear" w:color="auto" w:fill="FFFFFF" w:themeFill="background1"/>
        <w:spacing w:before="206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Hack:</w:t>
      </w:r>
    </w:p>
    <w:p xmlns:wp14="http://schemas.microsoft.com/office/word/2010/wordml" w:rsidP="4408B86B" wp14:paraId="53DEC64F" wp14:textId="012C39B2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Use for </w:t>
      </w: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productivity vampires</w:t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(social media/scrolling → recode as "low-res buffering")</w:t>
      </w:r>
    </w:p>
    <w:p xmlns:wp14="http://schemas.microsoft.com/office/word/2010/wordml" wp14:paraId="513F27E7" wp14:textId="3949DED3"/>
    <w:p xmlns:wp14="http://schemas.microsoft.com/office/word/2010/wordml" w:rsidP="4408B86B" wp14:paraId="0CB28CB8" wp14:textId="38BA2407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4: Stress-Test the Rewire</w:t>
      </w:r>
    </w:p>
    <w:p xmlns:wp14="http://schemas.microsoft.com/office/word/2010/wordml" w:rsidP="4408B86B" wp14:paraId="6D887CE1" wp14:textId="48C69E11">
      <w:pPr>
        <w:shd w:val="clear" w:color="auto" w:fill="FFFFFF" w:themeFill="background1"/>
        <w:spacing w:before="206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Verification Questions:</w:t>
      </w:r>
    </w:p>
    <w:p xmlns:wp14="http://schemas.microsoft.com/office/word/2010/wordml" w:rsidP="4408B86B" wp14:paraId="387F6A23" wp14:textId="2F2DBACD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"When you mentally walk past a bakery now, what happens?"</w:t>
      </w:r>
    </w:p>
    <w:p xmlns:wp14="http://schemas.microsoft.com/office/word/2010/wordml" w:rsidP="4408B86B" wp14:paraId="48FEF34B" wp14:textId="4D2B3F8E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"If you imagine reaching for one, any resistance?"</w:t>
      </w:r>
    </w:p>
    <w:p xmlns:wp14="http://schemas.microsoft.com/office/word/2010/wordml" w:rsidP="4408B86B" wp14:paraId="3DB531F7" wp14:textId="18859A4A">
      <w:pPr>
        <w:shd w:val="clear" w:color="auto" w:fill="FFFFFF" w:themeFill="background1"/>
        <w:spacing w:before="206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Red Flags:</w:t>
      </w:r>
      <w:r>
        <w:br/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🚩 Client says </w:t>
      </w: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guess it’s less appealing"</w:t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Needs brighter/darker contrast</w:t>
      </w:r>
      <w:r>
        <w:br/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🚩 No kinesthetic shift → Check for undisclosed emotional ties</w:t>
      </w:r>
    </w:p>
    <w:p xmlns:wp14="http://schemas.microsoft.com/office/word/2010/wordml" wp14:paraId="34C27A8C" wp14:textId="1A3B636D"/>
    <w:p xmlns:wp14="http://schemas.microsoft.com/office/word/2010/wordml" w:rsidP="4408B86B" wp14:paraId="77CBB709" wp14:textId="2C7210F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This Works for Professionals</w:t>
      </w:r>
    </w:p>
    <w:p xmlns:wp14="http://schemas.microsoft.com/office/word/2010/wordml" w:rsidP="4408B86B" wp14:paraId="67931775" wp14:textId="7E044447">
      <w:pPr>
        <w:shd w:val="clear" w:color="auto" w:fill="FFFFFF" w:themeFill="background1"/>
        <w:spacing w:before="206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Precision Targeting:</w:t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Changes </w:t>
      </w: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structural coding</w:t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without willpower battles</w:t>
      </w:r>
      <w:r>
        <w:br/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Stealth Health:</w:t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No deprivation—just neurological "file format conversion"</w:t>
      </w:r>
      <w:r>
        <w:br/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Page 27 Reference:</w:t>
      </w:r>
      <w:r w:rsidRPr="4408B86B" w:rsidR="4408B86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Script includes fail-safes for ethical use (no creating aversions to healthy foods)</w:t>
      </w:r>
    </w:p>
    <w:p xmlns:wp14="http://schemas.microsoft.com/office/word/2010/wordml" w:rsidP="4408B86B" wp14:paraId="66B2B46F" wp14:textId="790995A8">
      <w:pPr>
        <w:shd w:val="clear" w:color="auto" w:fill="FFFFFF" w:themeFill="background1"/>
        <w:spacing w:before="206" w:beforeAutospacing="off" w:after="206" w:afterAutospacing="off" w:line="429" w:lineRule="auto"/>
      </w:pPr>
      <w:r w:rsidRPr="4408B86B" w:rsidR="4408B86B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Tech Analogy:</w:t>
      </w:r>
      <w:r>
        <w:br/>
      </w:r>
      <w:r w:rsidRPr="4408B86B" w:rsidR="4408B86B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"Like changing a website’s CSS from ‘enticing promo pop-up’ to ‘unskippable software update notice’ aesthetics."</w:t>
      </w:r>
    </w:p>
    <w:p xmlns:wp14="http://schemas.microsoft.com/office/word/2010/wordml" wp14:paraId="5E5787A5" wp14:textId="676E675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2618e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6a65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9ef4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17f7a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15b9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2891EB"/>
    <w:rsid w:val="132891EB"/>
    <w:rsid w:val="4408B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91EB"/>
  <w15:chartTrackingRefBased/>
  <w15:docId w15:val="{DA1D9169-D7D0-446B-A590-CDDC831724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4408B86B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4408B86B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4408B86B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909208a2cf14d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2025-06-07T13:00:04.9978937Z</dcterms:created>
  <dcterms:modified xsi:type="dcterms:W3CDTF">2025-06-07T13:02:14.0509208Z</dcterms:modified>
</coreProperties>
</file>