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EEDDC38" wp14:paraId="23E3B7CE" wp14:textId="11323814">
      <w:pPr>
        <w:shd w:val="clear" w:color="auto" w:fill="FFFFFF" w:themeFill="background1"/>
        <w:spacing w:before="206" w:beforeAutospacing="off" w:after="206" w:afterAutospacing="off" w:line="429" w:lineRule="auto"/>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Let's establish two foundational anchors before proceeding: First, a </w:t>
      </w:r>
      <w:r w:rsidRPr="2EEDDC38" w:rsidR="2EEDDC38">
        <w:rPr>
          <w:rFonts w:ascii="system-ui" w:hAnsi="system-ui" w:eastAsia="system-ui" w:cs="system-ui"/>
          <w:b w:val="0"/>
          <w:bCs w:val="0"/>
          <w:i w:val="1"/>
          <w:iCs w:val="1"/>
          <w:caps w:val="0"/>
          <w:smallCaps w:val="0"/>
          <w:noProof w:val="0"/>
          <w:color w:val="404040" w:themeColor="text1" w:themeTint="BF" w:themeShade="FF"/>
          <w:sz w:val="24"/>
          <w:szCs w:val="24"/>
          <w:lang w:val="en-GB"/>
        </w:rPr>
        <w:t>here-and-now anchor</w:t>
      </w: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to return professionals to present reality if they associate too deeply with past events. Second, a </w:t>
      </w:r>
      <w:r w:rsidRPr="2EEDDC38" w:rsidR="2EEDDC38">
        <w:rPr>
          <w:rFonts w:ascii="system-ui" w:hAnsi="system-ui" w:eastAsia="system-ui" w:cs="system-ui"/>
          <w:b w:val="0"/>
          <w:bCs w:val="0"/>
          <w:i w:val="1"/>
          <w:iCs w:val="1"/>
          <w:caps w:val="0"/>
          <w:smallCaps w:val="0"/>
          <w:noProof w:val="0"/>
          <w:color w:val="404040" w:themeColor="text1" w:themeTint="BF" w:themeShade="FF"/>
          <w:sz w:val="24"/>
          <w:szCs w:val="24"/>
          <w:lang w:val="en-GB"/>
        </w:rPr>
        <w:t>calm state anchor</w:t>
      </w: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(or bailout anchor) for emotional regulation. While resource anchors often suffice, prepare alternatives—association into intense affect occasionally occurs during interventions. Unlike abreactive therapies that intentionally trigger catharsis, NLP prioritizes swift dissociation using pattern interrupts or anchored states when this happens.</w:t>
      </w:r>
    </w:p>
    <w:p xmlns:wp14="http://schemas.microsoft.com/office/word/2010/wordml" w:rsidP="2EEDDC38" wp14:paraId="0AAE2337" wp14:textId="3C63E223">
      <w:pPr>
        <w:shd w:val="clear" w:color="auto" w:fill="FFFFFF" w:themeFill="background1"/>
        <w:spacing w:before="206" w:beforeAutospacing="off" w:after="206" w:afterAutospacing="off" w:line="429" w:lineRule="auto"/>
      </w:pPr>
      <w:r w:rsidRPr="2EEDDC38" w:rsidR="2EEDDC38">
        <w:rPr>
          <w:rFonts w:ascii="system-ui" w:hAnsi="system-ui" w:eastAsia="system-ui" w:cs="system-ui"/>
          <w:b w:val="1"/>
          <w:bCs w:val="1"/>
          <w:i w:val="0"/>
          <w:iCs w:val="0"/>
          <w:caps w:val="0"/>
          <w:smallCaps w:val="0"/>
          <w:noProof w:val="0"/>
          <w:color w:val="404040" w:themeColor="text1" w:themeTint="BF" w:themeShade="FF"/>
          <w:sz w:val="24"/>
          <w:szCs w:val="24"/>
          <w:lang w:val="en-GB"/>
        </w:rPr>
        <w:t>Protocol Sequence:</w:t>
      </w:r>
    </w:p>
    <w:p xmlns:wp14="http://schemas.microsoft.com/office/word/2010/wordml" w:rsidP="2EEDDC38" wp14:paraId="2F585E34" wp14:textId="548B1488">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Identify the target reaction's most recent occurrence</w:t>
      </w:r>
    </w:p>
    <w:p xmlns:wp14="http://schemas.microsoft.com/office/word/2010/wordml" w:rsidP="2EEDDC38" wp14:paraId="3C1C4E4E" wp14:textId="61F583F6">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Anchor → Interrupt → Test anchor stability</w:t>
      </w:r>
    </w:p>
    <w:p xmlns:wp14="http://schemas.microsoft.com/office/word/2010/wordml" w:rsidP="2EEDDC38" wp14:paraId="07595E97" wp14:textId="2DB25510">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Project the memory onto a digital screen (visual framework)</w:t>
      </w:r>
    </w:p>
    <w:p xmlns:wp14="http://schemas.microsoft.com/office/word/2010/wordml" w:rsidP="2EEDDC38" wp14:paraId="6B93986B" wp14:textId="53D14985">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Replay to peak intensity → Freeze frame</w:t>
      </w:r>
    </w:p>
    <w:p xmlns:wp14="http://schemas.microsoft.com/office/word/2010/wordml" w:rsidP="2EEDDC38" wp14:paraId="251DECB7" wp14:textId="7383893B">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Guide float-out dissociation: Observe self from behind</w:t>
      </w:r>
    </w:p>
    <w:p xmlns:wp14="http://schemas.microsoft.com/office/word/2010/wordml" w:rsidP="2EEDDC38" wp14:paraId="56B16D4A" wp14:textId="03F7D937">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Anchor this dissociated observational state</w:t>
      </w:r>
    </w:p>
    <w:p xmlns:wp14="http://schemas.microsoft.com/office/word/2010/wordml" w:rsidP="2EEDDC38" wp14:paraId="7655FF0D" wp14:textId="25C76A63">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Replay scene until new insights emerge</w:t>
      </w:r>
    </w:p>
    <w:p xmlns:wp14="http://schemas.microsoft.com/office/word/2010/wordml" w:rsidP="2EEDDC38" wp14:paraId="12E64DC2" wp14:textId="11120DE5">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Facilitate dialogue: </w:t>
      </w:r>
      <w:r w:rsidRPr="2EEDDC38" w:rsidR="2EEDDC38">
        <w:rPr>
          <w:rFonts w:ascii="system-ui" w:hAnsi="system-ui" w:eastAsia="system-ui" w:cs="system-ui"/>
          <w:b w:val="0"/>
          <w:bCs w:val="0"/>
          <w:i w:val="1"/>
          <w:iCs w:val="1"/>
          <w:caps w:val="0"/>
          <w:smallCaps w:val="0"/>
          <w:noProof w:val="0"/>
          <w:color w:val="404040" w:themeColor="text1" w:themeTint="BF" w:themeShade="FF"/>
          <w:sz w:val="24"/>
          <w:szCs w:val="24"/>
          <w:lang w:val="en-GB"/>
        </w:rPr>
        <w:t>Future self advises younger self</w:t>
      </w: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 xml:space="preserve"> ("I'm from your tomorrow—here's the wisdom")</w:t>
      </w:r>
    </w:p>
    <w:p xmlns:wp14="http://schemas.microsoft.com/office/word/2010/wordml" w:rsidP="2EEDDC38" wp14:paraId="34876D72" wp14:textId="56E25988">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Integrate new learnings while firing calm-state anchor</w:t>
      </w:r>
    </w:p>
    <w:p xmlns:wp14="http://schemas.microsoft.com/office/word/2010/wordml" w:rsidP="2EEDDC38" wp14:paraId="1B78B69D" wp14:textId="005271AB">
      <w:pPr>
        <w:pStyle w:val="ListParagraph"/>
        <w:numPr>
          <w:ilvl w:val="0"/>
          <w:numId w:val="1"/>
        </w:numPr>
        <w:shd w:val="clear" w:color="auto" w:fill="FFFFFF" w:themeFill="background1"/>
        <w:spacing w:before="240" w:beforeAutospacing="off" w:after="240" w:afterAutospacing="off" w:line="429" w:lineRule="auto"/>
        <w:rPr>
          <w:rFonts w:ascii="system-ui" w:hAnsi="system-ui" w:eastAsia="system-ui" w:cs="system-ui"/>
          <w:b w:val="0"/>
          <w:bCs w:val="0"/>
          <w:i w:val="0"/>
          <w:iCs w:val="0"/>
          <w:caps w:val="0"/>
          <w:smallCaps w:val="0"/>
          <w:noProof w:val="0"/>
          <w:color w:val="404040" w:themeColor="text1" w:themeTint="BF" w:themeShade="FF"/>
          <w:sz w:val="24"/>
          <w:szCs w:val="24"/>
          <w:lang w:val="en-GB"/>
        </w:rPr>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Consolidate: Reverse replay → Minimize screen → Fade to dot → Release</w:t>
      </w:r>
    </w:p>
    <w:p xmlns:wp14="http://schemas.microsoft.com/office/word/2010/wordml" w:rsidP="2EEDDC38" wp14:paraId="0A29E5EB" wp14:textId="48E49594">
      <w:pPr>
        <w:shd w:val="clear" w:color="auto" w:fill="FFFFFF" w:themeFill="background1"/>
        <w:spacing w:before="206" w:beforeAutospacing="off" w:after="206" w:afterAutospacing="off" w:line="429" w:lineRule="auto"/>
      </w:pPr>
      <w:r w:rsidRPr="2EEDDC38" w:rsidR="2EEDDC38">
        <w:rPr>
          <w:rFonts w:ascii="system-ui" w:hAnsi="system-ui" w:eastAsia="system-ui" w:cs="system-ui"/>
          <w:b w:val="0"/>
          <w:bCs w:val="0"/>
          <w:i w:val="0"/>
          <w:iCs w:val="0"/>
          <w:caps w:val="0"/>
          <w:smallCaps w:val="0"/>
          <w:noProof w:val="0"/>
          <w:color w:val="404040" w:themeColor="text1" w:themeTint="BF" w:themeShade="FF"/>
          <w:sz w:val="24"/>
          <w:szCs w:val="24"/>
          <w:lang w:val="en-GB"/>
        </w:rPr>
        <w:t>This technique rapidly defuses charged memories but addresses symptoms, not root causality. For comprehensive chain resolution—particularly where fears serve protective functions (e.g., risk aversion in negotiations)—Timeline Therapy proves more effective. VK dissociation excels as a precision tool for isolated memory neutralization, while its derivative, the Fast Phobia Technique, enables rapid resolution of workplace triggers. We'll demonstrate this adaptation next.</w:t>
      </w:r>
    </w:p>
    <w:p xmlns:wp14="http://schemas.microsoft.com/office/word/2010/wordml" wp14:paraId="649FD15D" wp14:textId="6D316282"/>
    <w:p xmlns:wp14="http://schemas.microsoft.com/office/word/2010/wordml" wp14:paraId="5E5787A5" wp14:textId="055C6B27"/>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e46bb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69ECB1"/>
    <w:rsid w:val="2EEDDC38"/>
    <w:rsid w:val="6669E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ECB1"/>
  <w15:chartTrackingRefBased/>
  <w15:docId w15:val="{847B8AF4-8425-4F18-8AD4-0E77AAEE74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EEDDC3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5fc46f43e4844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2025-06-07T18:41:31.5703076Z</dcterms:created>
  <dcterms:modified xsi:type="dcterms:W3CDTF">2025-06-07T19:09:50.9167269Z</dcterms:modified>
</coreProperties>
</file>