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670806" wp14:paraId="2E9C162C" wp14:textId="7DA60E67">
      <w:pPr>
        <w:shd w:val="clear" w:color="auto" w:fill="FFFFFF" w:themeFill="background1"/>
        <w:spacing w:before="206" w:beforeAutospacing="off" w:after="206" w:afterAutospacing="off" w:line="429" w:lineRule="auto"/>
      </w:pPr>
      <w:r w:rsidRPr="63670806" w:rsidR="63670806">
        <w:rPr>
          <w:rFonts w:ascii="system-ui" w:hAnsi="system-ui" w:eastAsia="system-ui" w:cs="system-ui"/>
          <w:b w:val="0"/>
          <w:bCs w:val="0"/>
          <w:i w:val="0"/>
          <w:iCs w:val="0"/>
          <w:caps w:val="0"/>
          <w:smallCaps w:val="0"/>
          <w:noProof w:val="0"/>
          <w:color w:val="404040" w:themeColor="text1" w:themeTint="BF" w:themeShade="FF"/>
          <w:sz w:val="24"/>
          <w:szCs w:val="24"/>
          <w:lang w:val="en-GB"/>
        </w:rPr>
        <w:t>We'll now examine dissociative techniques—high-impact interventions for managing intense emotional states. While operating within submodality frameworks, these methods prove particularly effective with heightened affect where standard approaches may falter. The VK dissociation protocol exemplifies this category.</w:t>
      </w:r>
    </w:p>
    <w:p xmlns:wp14="http://schemas.microsoft.com/office/word/2010/wordml" w:rsidP="63670806" wp14:paraId="78EB2373" wp14:textId="67EBF1FC">
      <w:pPr>
        <w:shd w:val="clear" w:color="auto" w:fill="FFFFFF" w:themeFill="background1"/>
        <w:spacing w:before="206" w:beforeAutospacing="off" w:after="206" w:afterAutospacing="off" w:line="429" w:lineRule="auto"/>
      </w:pPr>
      <w:r w:rsidRPr="63670806" w:rsidR="63670806">
        <w:rPr>
          <w:rFonts w:ascii="system-ui" w:hAnsi="system-ui" w:eastAsia="system-ui" w:cs="system-ui"/>
          <w:b w:val="0"/>
          <w:bCs w:val="0"/>
          <w:i w:val="0"/>
          <w:iCs w:val="0"/>
          <w:caps w:val="0"/>
          <w:smallCaps w:val="0"/>
          <w:noProof w:val="0"/>
          <w:color w:val="404040" w:themeColor="text1" w:themeTint="BF" w:themeShade="FF"/>
          <w:sz w:val="24"/>
          <w:szCs w:val="24"/>
          <w:lang w:val="en-GB"/>
        </w:rPr>
        <w:t>Its placement here follows logically from our coverage of the NLP change model, providing strategic continuity. For detailed implementation, reference the VK dissociation methodology in Section 74 of your practitioner resources.</w:t>
      </w:r>
    </w:p>
    <w:p xmlns:wp14="http://schemas.microsoft.com/office/word/2010/wordml" wp14:paraId="5E5787A5" wp14:textId="6A492B9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9E568D"/>
    <w:rsid w:val="399E568D"/>
    <w:rsid w:val="63670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568D"/>
  <w15:chartTrackingRefBased/>
  <w15:docId w15:val="{30105E04-9779-43C3-B9D5-4312D6CAEC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2025-06-07T18:41:39.8050194Z</dcterms:created>
  <dcterms:modified xsi:type="dcterms:W3CDTF">2025-06-07T19:08:19.8032367Z</dcterms:modified>
</coreProperties>
</file>