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94CB2B1" wp14:paraId="6C8A74CA" wp14:textId="3820FE94">
      <w:pPr>
        <w:shd w:val="clear" w:color="auto" w:fill="FFFFFF" w:themeFill="background1"/>
        <w:spacing w:before="206" w:beforeAutospacing="off" w:after="206" w:afterAutospacing="off" w:line="429" w:lineRule="auto"/>
      </w:pPr>
      <w:r w:rsidRPr="694CB2B1" w:rsidR="694CB2B1">
        <w:rPr>
          <w:rFonts w:ascii="system-ui" w:hAnsi="system-ui" w:eastAsia="system-ui" w:cs="system-ui"/>
          <w:b w:val="0"/>
          <w:bCs w:val="0"/>
          <w:i w:val="0"/>
          <w:iCs w:val="0"/>
          <w:caps w:val="0"/>
          <w:smallCaps w:val="0"/>
          <w:noProof w:val="0"/>
          <w:color w:val="404040" w:themeColor="text1" w:themeTint="BF" w:themeShade="FF"/>
          <w:sz w:val="24"/>
          <w:szCs w:val="24"/>
          <w:lang w:val="en-GB"/>
        </w:rPr>
        <w:t>Welcome back. While some therapeutic approaches engage with parts through methods like "parts parties"—as seen in Gestalt therapy and Virginia Satir's work—these often facilitate behavioral alignment without achieving full neurological integration. Our objective with parts integration transcends behavioral coordination; we seek complete assimilation of the part into the individual's unified system.</w:t>
      </w:r>
    </w:p>
    <w:p xmlns:wp14="http://schemas.microsoft.com/office/word/2010/wordml" w:rsidP="694CB2B1" wp14:paraId="63E225CB" wp14:textId="3CA5241B">
      <w:pPr>
        <w:shd w:val="clear" w:color="auto" w:fill="FFFFFF" w:themeFill="background1"/>
        <w:spacing w:before="206" w:beforeAutospacing="off" w:after="206" w:afterAutospacing="off" w:line="429" w:lineRule="auto"/>
      </w:pPr>
      <w:r w:rsidRPr="694CB2B1" w:rsidR="694CB2B1">
        <w:rPr>
          <w:rFonts w:ascii="system-ui" w:hAnsi="system-ui" w:eastAsia="system-ui" w:cs="system-ui"/>
          <w:b w:val="0"/>
          <w:bCs w:val="0"/>
          <w:i w:val="0"/>
          <w:iCs w:val="0"/>
          <w:caps w:val="0"/>
          <w:smallCaps w:val="0"/>
          <w:noProof w:val="0"/>
          <w:color w:val="404040" w:themeColor="text1" w:themeTint="BF" w:themeShade="FF"/>
          <w:sz w:val="24"/>
          <w:szCs w:val="24"/>
          <w:lang w:val="en-GB"/>
        </w:rPr>
        <w:t>Parts frequently originate through imprinting or modeling influential figures. When deeply impressed by others, professionals may unconsciously internalize behavioral templates that conflict with their core identity. Whether working with corporate clients, therapy participants, or executives, practitioners should listen for linguistic incongruence: "I'm committed to this promotion, yet something holds me back," or consistent self-sabotage upon nearing key milestones. These patterns signal misaligned internal subsystems obstructing potential.</w:t>
      </w:r>
    </w:p>
    <w:p xmlns:wp14="http://schemas.microsoft.com/office/word/2010/wordml" w:rsidP="694CB2B1" wp14:paraId="378BA177" wp14:textId="464FF9DB">
      <w:pPr>
        <w:shd w:val="clear" w:color="auto" w:fill="FFFFFF" w:themeFill="background1"/>
        <w:spacing w:before="206" w:beforeAutospacing="off" w:after="206" w:afterAutospacing="off" w:line="429" w:lineRule="auto"/>
      </w:pPr>
      <w:r w:rsidRPr="694CB2B1" w:rsidR="694CB2B1">
        <w:rPr>
          <w:rFonts w:ascii="system-ui" w:hAnsi="system-ui" w:eastAsia="system-ui" w:cs="system-ui"/>
          <w:b w:val="0"/>
          <w:bCs w:val="0"/>
          <w:i w:val="0"/>
          <w:iCs w:val="0"/>
          <w:caps w:val="0"/>
          <w:smallCaps w:val="0"/>
          <w:noProof w:val="0"/>
          <w:color w:val="404040" w:themeColor="text1" w:themeTint="BF" w:themeShade="FF"/>
          <w:sz w:val="24"/>
          <w:szCs w:val="24"/>
          <w:lang w:val="en-GB"/>
        </w:rPr>
        <w:t>Conceptualize the nervous system as possessing full behavioral capacity. Effective integration requires addressing the most neurologically divergent parts first. This strategy recruits broader neural networks, enabling profound resolution of unconscious polarity. The technique targets root conflicts at their deepest structural level. For precise methodology, consult the parts integration protocol in Section 73 of your practitioner materials.</w:t>
      </w:r>
    </w:p>
    <w:p xmlns:wp14="http://schemas.microsoft.com/office/word/2010/wordml" wp14:paraId="5E5787A5" wp14:textId="584F0F4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451839"/>
    <w:rsid w:val="21451839"/>
    <w:rsid w:val="694CB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1839"/>
  <w15:chartTrackingRefBased/>
  <w15:docId w15:val="{B8EA5D77-FCB5-405C-AD53-B71204BCEA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2025-06-07T18:42:03.0392767Z</dcterms:created>
  <dcterms:modified xsi:type="dcterms:W3CDTF">2025-06-07T18:57:36.8863173Z</dcterms:modified>
</coreProperties>
</file>