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E00F9DC" wp14:paraId="0DCDE068" wp14:textId="51842ECA">
      <w:pPr>
        <w:shd w:val="clear" w:color="auto" w:fill="FFFFFF" w:themeFill="background1"/>
        <w:spacing w:before="206" w:beforeAutospacing="off" w:after="206" w:afterAutospacing="off" w:line="429" w:lineRule="auto"/>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Welcome back. A part constitutes a segment of your unconscious mind and nervous system that has become functionally isolated. This detachment disrupts natural communication flow throughout your neural architecture. Information that should process seamlessly encounters this fragmented subsystem, causing diversion rather than integrated processing. Essentially, parts create functional blockages within your neurocognitive pathways.</w:t>
      </w:r>
    </w:p>
    <w:p xmlns:wp14="http://schemas.microsoft.com/office/word/2010/wordml" w:rsidP="4E00F9DC" wp14:paraId="1785177E" wp14:textId="6492AD84">
      <w:pPr>
        <w:shd w:val="clear" w:color="auto" w:fill="FFFFFF" w:themeFill="background1"/>
        <w:spacing w:before="206" w:beforeAutospacing="off" w:after="206" w:afterAutospacing="off" w:line="429" w:lineRule="auto"/>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These blockages interfere with efficient information transmission across neural networks. During parts integration, we remove these neurological impediments to restore optimal data flow. This neurological realignment directly enhances physiological vitality and psychological well-being. Clients frequently report profound somatic shifts following successful integration—making this one of NLP's most transformative techniques.</w:t>
      </w:r>
    </w:p>
    <w:p xmlns:wp14="http://schemas.microsoft.com/office/word/2010/wordml" w:rsidP="4E00F9DC" wp14:paraId="0D22EB76" wp14:textId="2135336A">
      <w:pPr>
        <w:shd w:val="clear" w:color="auto" w:fill="FFFFFF" w:themeFill="background1"/>
        <w:spacing w:before="206" w:beforeAutospacing="off" w:after="206" w:afterAutospacing="off" w:line="429" w:lineRule="auto"/>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Each part generates specific behavioral outputs. When problematic, these manifest as actions or states the individual wishes to change ("I need to eliminate this reactive pattern"). Parts possess distinct belief systems and values. When activated, they can dominate behavior—like professionals displaying developmentally regressed responses during high-stress situations, despite their expertise.</w:t>
      </w:r>
    </w:p>
    <w:p xmlns:wp14="http://schemas.microsoft.com/office/word/2010/wordml" w:rsidP="4E00F9DC" wp14:paraId="0318DEE4" wp14:textId="7D20E1DE">
      <w:pPr>
        <w:shd w:val="clear" w:color="auto" w:fill="FFFFFF" w:themeFill="background1"/>
        <w:spacing w:before="206" w:beforeAutospacing="off" w:after="206" w:afterAutospacing="off" w:line="429" w:lineRule="auto"/>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The boundaries of these neural subsystems strengthen with repetition. Long-standing patterns form rigid cognitive architectures that resist change through neural pathway reinforcement. Increased fragmentation at this level heightens incongruency risk—contradicting NLP's core presupposition that processes should increase wholeness. Unresolved parts inherently create conflict potential, leading to behavioral inconsistency and dissatisfaction.</w:t>
      </w:r>
    </w:p>
    <w:p xmlns:wp14="http://schemas.microsoft.com/office/word/2010/wordml" w:rsidP="4E00F9DC" wp14:paraId="763B5D0E" wp14:textId="7884C5BD">
      <w:pPr>
        <w:shd w:val="clear" w:color="auto" w:fill="FFFFFF" w:themeFill="background1"/>
        <w:spacing w:before="206" w:beforeAutospacing="off" w:after="206" w:afterAutospacing="off" w:line="429" w:lineRule="auto"/>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Parts integration specifically targets these unconscious incongruencies. For practitioners, it's essential for resolving client statements like: "I'm paralyzed between career paths—part of me self-sabotages." The technique cultivates profound alignment between intention, behavior, and outcomes—delivering the coherence high-performers seek.</w:t>
      </w:r>
    </w:p>
    <w:p xmlns:wp14="http://schemas.microsoft.com/office/word/2010/wordml" w:rsidP="4E00F9DC" wp14:paraId="2B8677EF" wp14:textId="46F0B06E">
      <w:pPr>
        <w:shd w:val="clear" w:color="auto" w:fill="FFFFFF" w:themeFill="background1"/>
        <w:spacing w:before="206" w:beforeAutospacing="off" w:after="206" w:afterAutospacing="off" w:line="429" w:lineRule="auto"/>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These subsystems originate through:</w:t>
      </w:r>
    </w:p>
    <w:p xmlns:wp14="http://schemas.microsoft.com/office/word/2010/wordml" w:rsidP="4E00F9DC" wp14:paraId="4A60EDF8" wp14:textId="4CAE3AB0">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Modeling significant others during formative experiences</w:t>
      </w:r>
    </w:p>
    <w:p xmlns:wp14="http://schemas.microsoft.com/office/word/2010/wordml" w:rsidP="4E00F9DC" wp14:paraId="5927EEA6" wp14:textId="4C597307">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Adaptation to intense emotional events</w:t>
      </w:r>
    </w:p>
    <w:p xmlns:wp14="http://schemas.microsoft.com/office/word/2010/wordml" w:rsidP="4E00F9DC" wp14:paraId="4271239F" wp14:textId="19FB5AC9">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Developing protective functions during limited-response scenarios (e.g., childhood)</w:t>
      </w:r>
    </w:p>
    <w:p xmlns:wp14="http://schemas.microsoft.com/office/word/2010/wordml" w:rsidP="4E00F9DC" wp14:paraId="5C363712" wp14:textId="158D6923">
      <w:pPr>
        <w:shd w:val="clear" w:color="auto" w:fill="FFFFFF" w:themeFill="background1"/>
        <w:spacing w:before="206" w:beforeAutospacing="off" w:after="206" w:afterAutospacing="off" w:line="429" w:lineRule="auto"/>
      </w:pPr>
      <w:r w:rsidRPr="4E00F9DC" w:rsidR="4E00F9DC">
        <w:rPr>
          <w:rFonts w:ascii="system-ui" w:hAnsi="system-ui" w:eastAsia="system-ui" w:cs="system-ui"/>
          <w:b w:val="0"/>
          <w:bCs w:val="0"/>
          <w:i w:val="0"/>
          <w:iCs w:val="0"/>
          <w:caps w:val="0"/>
          <w:smallCaps w:val="0"/>
          <w:noProof w:val="0"/>
          <w:color w:val="404040" w:themeColor="text1" w:themeTint="BF" w:themeShade="FF"/>
          <w:sz w:val="24"/>
          <w:szCs w:val="24"/>
          <w:lang w:val="en-GB"/>
        </w:rPr>
        <w:t>Though initially serving protective intentions, parts often employ outdated strategies misaligned with adult capabilities. Consider a professional whose childhood bullying response imprinted a "preemptive aggression" pattern—now triggered by perceived workplace threats, causing disproportionate reactions. Such parts remain frozen in earlier developmental stages, generating non-integrated behaviors incongruent with the individual's current maturity and context.</w:t>
      </w:r>
    </w:p>
    <w:p xmlns:wp14="http://schemas.microsoft.com/office/word/2010/wordml" wp14:paraId="5E5787A5" wp14:textId="7A13697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68dd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34AD0"/>
    <w:rsid w:val="10134AD0"/>
    <w:rsid w:val="4E00F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4AD0"/>
  <w15:chartTrackingRefBased/>
  <w15:docId w15:val="{4243970D-49D4-404B-A437-2F27B6BCBE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E00F9D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8db1f3835ec46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2025-06-07T18:42:08.3686306Z</dcterms:created>
  <dcterms:modified xsi:type="dcterms:W3CDTF">2025-06-07T18:55:54.3255433Z</dcterms:modified>
</coreProperties>
</file>