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5004C0F" wp14:paraId="00433692" wp14:textId="289BE274">
      <w:pPr>
        <w:shd w:val="clear" w:color="auto" w:fill="FFFFFF" w:themeFill="background1"/>
        <w:spacing w:before="206" w:beforeAutospacing="off" w:after="206" w:afterAutospacing="off" w:line="429" w:lineRule="auto"/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Module 12.2: Strategy Elicitation Protocol</w:t>
      </w:r>
    </w:p>
    <w:p xmlns:wp14="http://schemas.microsoft.com/office/word/2010/wordml" w:rsidP="25004C0F" wp14:paraId="0E9B411C" wp14:textId="7737BE6F">
      <w:pPr>
        <w:shd w:val="clear" w:color="auto" w:fill="FFFFFF" w:themeFill="background1"/>
        <w:spacing w:before="206" w:beforeAutospacing="off" w:after="206" w:afterAutospacing="off" w:line="429" w:lineRule="auto"/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To map cognitive strategies, implement structured observation of three physiological indicators:</w:t>
      </w:r>
    </w:p>
    <w:p xmlns:wp14="http://schemas.microsoft.com/office/word/2010/wordml" w:rsidP="25004C0F" wp14:paraId="5FE500AE" wp14:textId="325ECD2B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Ocular Patterns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(eye movement trajectories)</w:t>
      </w:r>
    </w:p>
    <w:p xmlns:wp14="http://schemas.microsoft.com/office/word/2010/wordml" w:rsidP="25004C0F" wp14:paraId="7296B61A" wp14:textId="232E231C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Somatic Markers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(posture shifts, muscle tension)</w:t>
      </w:r>
    </w:p>
    <w:p xmlns:wp14="http://schemas.microsoft.com/office/word/2010/wordml" w:rsidP="25004C0F" wp14:paraId="70C90E93" wp14:textId="54D24BC0">
      <w:pPr>
        <w:pStyle w:val="ListParagraph"/>
        <w:numPr>
          <w:ilvl w:val="0"/>
          <w:numId w:val="1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Respiratory Signatures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 xml:space="preserve"> (breathing rhythm changes)</w:t>
      </w:r>
    </w:p>
    <w:p xmlns:wp14="http://schemas.microsoft.com/office/word/2010/wordml" w:rsidP="25004C0F" wp14:paraId="2D729A19" wp14:textId="6D2F5319">
      <w:pPr>
        <w:shd w:val="clear" w:color="auto" w:fill="FFFFFF" w:themeFill="background1"/>
        <w:spacing w:before="206" w:beforeAutospacing="off" w:after="206" w:afterAutospacing="off" w:line="429" w:lineRule="auto"/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Simultaneously, audit linguistic patterns—sensory predicates and digital qualifiers reveal internal processing sequences. Systematically track these elements to reconstruct the client’s cognitive architecture.</w:t>
      </w:r>
    </w:p>
    <w:p xmlns:wp14="http://schemas.microsoft.com/office/word/2010/wordml" w:rsidP="25004C0F" wp14:paraId="5B8283E2" wp14:textId="52785DAE">
      <w:pPr>
        <w:shd w:val="clear" w:color="auto" w:fill="FFFFFF" w:themeFill="background1"/>
        <w:spacing w:before="206" w:beforeAutospacing="off" w:after="206" w:afterAutospacing="off" w:line="429" w:lineRule="auto"/>
      </w:pPr>
      <w:r w:rsidRPr="25004C0F" w:rsidR="25004C0F">
        <w:rPr>
          <w:rFonts w:ascii="system-ui" w:hAnsi="system-ui" w:eastAsia="system-ui" w:cs="system-ui"/>
          <w:b w:val="0"/>
          <w:bCs w:val="0"/>
          <w:i w:val="1"/>
          <w:iCs w:val="1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Refer to Page 54: Strategy Component Taxonomy</w:t>
      </w:r>
      <w:r>
        <w:br/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All strategies comprise sequenced combinations of:</w:t>
      </w:r>
    </w:p>
    <w:p xmlns:wp14="http://schemas.microsoft.com/office/word/2010/wordml" w:rsidP="25004C0F" wp14:paraId="0D5EB9FE" wp14:textId="3101FB67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Visual (V)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5004C0F" wp14:paraId="50014EB3" wp14:textId="22FD3782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 (e): Observed stimuli (e.g., dashboard metrics)</w:t>
      </w:r>
    </w:p>
    <w:p xmlns:wp14="http://schemas.microsoft.com/office/word/2010/wordml" w:rsidP="25004C0F" wp14:paraId="66CCAC22" wp14:textId="5A4527E1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 (i): Mental imagery (e.g., visualizing quarterly projections)</w:t>
      </w:r>
    </w:p>
    <w:p xmlns:wp14="http://schemas.microsoft.com/office/word/2010/wordml" w:rsidP="25004C0F" wp14:paraId="4F569E51" wp14:textId="627F107E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Constructed (c): Novel representations (e.g., imagining a prototype)</w:t>
      </w:r>
    </w:p>
    <w:p xmlns:wp14="http://schemas.microsoft.com/office/word/2010/wordml" w:rsidP="25004C0F" wp14:paraId="1FDE8721" wp14:textId="41935817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Remembered (r): Recalled experiences (e.g., past success imagery)</w:t>
      </w:r>
    </w:p>
    <w:p xmlns:wp14="http://schemas.microsoft.com/office/word/2010/wordml" w:rsidP="25004C0F" wp14:paraId="64AF992D" wp14:textId="39CC91D6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Auditory (A)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5004C0F" wp14:paraId="552F1C8F" wp14:textId="5AFC7D9E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 (e): Environmental sounds (e.g., market news alerts)</w:t>
      </w:r>
    </w:p>
    <w:p xmlns:wp14="http://schemas.microsoft.com/office/word/2010/wordml" w:rsidP="25004C0F" wp14:paraId="2BF724FD" wp14:textId="7B89A114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 (i): Cognitive auditory processing</w:t>
      </w:r>
    </w:p>
    <w:p xmlns:wp14="http://schemas.microsoft.com/office/word/2010/wordml" w:rsidP="25004C0F" wp14:paraId="650B2B1C" wp14:textId="2D6A6BB1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Constructed (c): Novel auditory generation (e.g., rehearsing a pitch)</w:t>
      </w:r>
    </w:p>
    <w:p xmlns:wp14="http://schemas.microsoft.com/office/word/2010/wordml" w:rsidP="25004C0F" wp14:paraId="2A3DFB8E" wp14:textId="0E2DE4D9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Remembered (r): Archived sounds (e.g., client’s vocal tone recall)</w:t>
      </w:r>
    </w:p>
    <w:p xmlns:wp14="http://schemas.microsoft.com/office/word/2010/wordml" w:rsidP="25004C0F" wp14:paraId="1DE90B39" wp14:textId="7AF3E893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Auditory Digital (Ad)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Internal semantic processing (e.g., risk-benefit analysis self-talk)</w:t>
      </w:r>
    </w:p>
    <w:p xmlns:wp14="http://schemas.microsoft.com/office/word/2010/wordml" w:rsidP="25004C0F" wp14:paraId="0A6A31BF" wp14:textId="1E38C7C9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Kinesthetic (K)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</w:t>
      </w:r>
    </w:p>
    <w:p xmlns:wp14="http://schemas.microsoft.com/office/word/2010/wordml" w:rsidP="25004C0F" wp14:paraId="4EF06318" wp14:textId="19B62302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External (e): Tactile feedback (e.g., device ergonomics)</w:t>
      </w:r>
    </w:p>
    <w:p xmlns:wp14="http://schemas.microsoft.com/office/word/2010/wordml" w:rsidP="25004C0F" wp14:paraId="5DF472D6" wp14:textId="699C9694">
      <w:pPr>
        <w:pStyle w:val="ListParagraph"/>
        <w:numPr>
          <w:ilvl w:val="1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Internal (i): Somatic states (e.g., confidence sensation)</w:t>
      </w:r>
    </w:p>
    <w:p xmlns:wp14="http://schemas.microsoft.com/office/word/2010/wordml" w:rsidP="25004C0F" wp14:paraId="4D87409B" wp14:textId="4C1D4B4B">
      <w:pPr>
        <w:pStyle w:val="ListParagraph"/>
        <w:numPr>
          <w:ilvl w:val="2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Constructed/Remembered: Generated or recalled physical states</w:t>
      </w:r>
    </w:p>
    <w:p xmlns:wp14="http://schemas.microsoft.com/office/word/2010/wordml" w:rsidP="25004C0F" wp14:paraId="0D19FD31" wp14:textId="66F1A5A2">
      <w:pPr>
        <w:pStyle w:val="ListParagraph"/>
        <w:numPr>
          <w:ilvl w:val="0"/>
          <w:numId w:val="2"/>
        </w:numPr>
        <w:shd w:val="clear" w:color="auto" w:fill="FFFFFF" w:themeFill="background1"/>
        <w:spacing w:before="240" w:beforeAutospacing="off" w:after="240" w:afterAutospacing="off" w:line="429" w:lineRule="auto"/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Olfactory/Gustatory (O/G)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Chemical sensory data (e.g., association triggers)</w:t>
      </w:r>
    </w:p>
    <w:p xmlns:wp14="http://schemas.microsoft.com/office/word/2010/wordml" w:rsidP="25004C0F" wp14:paraId="6338E0E5" wp14:textId="5DCB9A97">
      <w:pPr>
        <w:shd w:val="clear" w:color="auto" w:fill="FFFFFF" w:themeFill="background1"/>
        <w:spacing w:before="206" w:beforeAutospacing="off" w:after="206" w:afterAutospacing="off" w:line="429" w:lineRule="auto"/>
      </w:pPr>
      <w:r w:rsidRPr="25004C0F" w:rsidR="25004C0F">
        <w:rPr>
          <w:rFonts w:ascii="system-ui" w:hAnsi="system-ui" w:eastAsia="system-ui" w:cs="system-ui"/>
          <w:b w:val="1"/>
          <w:bCs w:val="1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Critical Distinction</w:t>
      </w:r>
      <w:r w:rsidRPr="25004C0F" w:rsidR="25004C0F">
        <w:rPr>
          <w:rFonts w:ascii="system-ui" w:hAnsi="system-ui" w:eastAsia="system-ui" w:cs="system-ui"/>
          <w:b w:val="0"/>
          <w:bCs w:val="0"/>
          <w:i w:val="0"/>
          <w:iCs w:val="0"/>
          <w:caps w:val="0"/>
          <w:smallCaps w:val="0"/>
          <w:noProof w:val="0"/>
          <w:color w:val="404040" w:themeColor="text1" w:themeTint="BF" w:themeShade="FF"/>
          <w:sz w:val="24"/>
          <w:szCs w:val="24"/>
          <w:lang w:val="en-GB"/>
        </w:rPr>
        <w:t>: Constructed elements simulate novel scenarios (e.g., mentally testing an unworn negotiation outfit), while remembered elements access stored experiential data.</w:t>
      </w:r>
    </w:p>
    <w:p xmlns:wp14="http://schemas.microsoft.com/office/word/2010/wordml" wp14:paraId="5E5787A5" wp14:textId="1749C127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adb143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30406a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9256C6"/>
    <w:rsid w:val="25004C0F"/>
    <w:rsid w:val="6292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256C6"/>
  <w15:chartTrackingRefBased/>
  <w15:docId w15:val="{37E7530B-3EEB-41AE-AD36-9C2C271C7EA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5004C0F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eb119b5d3ffb40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Muhammad Suleman Mushtaq</dc:creator>
  <keywords/>
  <dc:description/>
  <lastModifiedBy>Muhammad Suleman Mushtaq</lastModifiedBy>
  <revision>2</revision>
  <dcterms:created xsi:type="dcterms:W3CDTF">2025-06-07T18:20:44.8138180Z</dcterms:created>
  <dcterms:modified xsi:type="dcterms:W3CDTF">2025-06-07T18:27:10.9371659Z</dcterms:modified>
</coreProperties>
</file>