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934D1DA" wp14:paraId="176C0F48" wp14:textId="63C44976">
      <w:pPr>
        <w:shd w:val="clear" w:color="auto" w:fill="FFFFFF" w:themeFill="background1"/>
        <w:spacing w:before="206" w:beforeAutospacing="off" w:after="206" w:afterAutospacing="off" w:line="429" w:lineRule="auto"/>
      </w:pPr>
      <w:r w:rsidRPr="7934D1DA" w:rsidR="7934D1D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Strategic Advantage: Precision in Behavior Design</w:t>
      </w:r>
    </w:p>
    <w:p xmlns:wp14="http://schemas.microsoft.com/office/word/2010/wordml" w:rsidP="7934D1DA" wp14:paraId="1C83B2ED" wp14:textId="741DA756">
      <w:pPr>
        <w:shd w:val="clear" w:color="auto" w:fill="FFFFFF" w:themeFill="background1"/>
        <w:spacing w:before="206" w:beforeAutospacing="off" w:after="206" w:afterAutospacing="off" w:line="429" w:lineRule="auto"/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Understanding strategy elicitation and utilization is non-negotiable for behavioral architects. Strategies form the operational backbone of all human functioning—every decision, action, and outcome originates from these cognitive sequences. Consider:</w:t>
      </w:r>
    </w:p>
    <w:p xmlns:wp14="http://schemas.microsoft.com/office/word/2010/wordml" w:rsidP="7934D1DA" wp14:paraId="517464BA" wp14:textId="4C77ED25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Behavioral Genesis</w:t>
      </w: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Motivation, decision-making, learning, and relationship dynamics all emerge from strategic frameworks</w:t>
      </w:r>
    </w:p>
    <w:p xmlns:wp14="http://schemas.microsoft.com/office/word/2010/wordml" w:rsidP="7934D1DA" wp14:paraId="30716F3F" wp14:textId="6A376A2B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Performance Optimization</w:t>
      </w: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Master performers achieve consistency through refined cognitive syntax</w:t>
      </w:r>
    </w:p>
    <w:p xmlns:wp14="http://schemas.microsoft.com/office/word/2010/wordml" w:rsidP="7934D1DA" wp14:paraId="05A51D0C" wp14:textId="3223C17B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Change Leverage</w:t>
      </w: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Undesired patterns (procrastination, ineffective habits) persist through fixed strategies</w:t>
      </w:r>
    </w:p>
    <w:p xmlns:wp14="http://schemas.microsoft.com/office/word/2010/wordml" w:rsidP="7934D1DA" wp14:paraId="0F490A37" wp14:textId="39C72A03">
      <w:pPr>
        <w:shd w:val="clear" w:color="auto" w:fill="FFFFFF" w:themeFill="background1"/>
        <w:spacing w:before="206" w:beforeAutospacing="off" w:after="206" w:afterAutospacing="off" w:line="429" w:lineRule="auto"/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This universality creates dual professional advantages:</w:t>
      </w:r>
    </w:p>
    <w:p xmlns:wp14="http://schemas.microsoft.com/office/word/2010/wordml" w:rsidP="7934D1DA" wp14:paraId="1F799A17" wp14:textId="6DF8B2AC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Adoption</w:t>
      </w: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Replicate excellence by modeling high-performers’ cognitive sequences</w:t>
      </w:r>
    </w:p>
    <w:p xmlns:wp14="http://schemas.microsoft.com/office/word/2010/wordml" w:rsidP="7934D1DA" wp14:paraId="33423BC3" wp14:textId="19D61E2D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Reconfiguration</w:t>
      </w: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Transform limiting behaviors by rewriting their underlying code</w:t>
      </w:r>
    </w:p>
    <w:p xmlns:wp14="http://schemas.microsoft.com/office/word/2010/wordml" w:rsidP="7934D1DA" wp14:paraId="21ADA277" wp14:textId="6AAF41DF">
      <w:pPr>
        <w:shd w:val="clear" w:color="auto" w:fill="FFFFFF" w:themeFill="background1"/>
        <w:spacing w:before="206" w:beforeAutospacing="off" w:after="206" w:afterAutospacing="off" w:line="429" w:lineRule="auto"/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NLP change patterns (Swish, Like-to-Dislike) are fundamentally </w:t>
      </w:r>
      <w:r w:rsidRPr="7934D1DA" w:rsidR="7934D1D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strategy recalibration tools</w:t>
      </w: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 They systematically restructure the sensory sequence driving unwanted outcomes—enabling precise behavioral redesign without willpower battles.</w:t>
      </w:r>
    </w:p>
    <w:p xmlns:wp14="http://schemas.microsoft.com/office/word/2010/wordml" w:rsidP="7934D1DA" wp14:paraId="10EA99CD" wp14:textId="6C166069">
      <w:pPr>
        <w:shd w:val="clear" w:color="auto" w:fill="FFFFFF" w:themeFill="background1"/>
        <w:spacing w:before="206" w:beforeAutospacing="off" w:after="206" w:afterAutospacing="off" w:line="429" w:lineRule="auto"/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In communication, strategy alignment is the hidden catalyst for influence. Rapport establishes connection, but </w:t>
      </w:r>
      <w:r w:rsidRPr="7934D1DA" w:rsidR="7934D1D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sensory syntax matching</w:t>
      </w: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determines comprehension:</w:t>
      </w:r>
    </w:p>
    <w:p xmlns:wp14="http://schemas.microsoft.com/office/word/2010/wordml" w:rsidP="7934D1DA" wp14:paraId="1BAD80D0" wp14:textId="28AD289C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 visually-oriented client requires data visualization before discussing tactile benefits</w:t>
      </w:r>
    </w:p>
    <w:p xmlns:wp14="http://schemas.microsoft.com/office/word/2010/wordml" w:rsidP="7934D1DA" wp14:paraId="5120A11F" wp14:textId="692B69D6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An auditory-dominant stakeholder needs verbal frameworks prior to reviewing evidence</w:t>
      </w:r>
    </w:p>
    <w:p xmlns:wp14="http://schemas.microsoft.com/office/word/2010/wordml" w:rsidP="7934D1DA" wp14:paraId="587B30BF" wp14:textId="4978A91B">
      <w:pPr>
        <w:shd w:val="clear" w:color="auto" w:fill="FFFFFF" w:themeFill="background1"/>
        <w:spacing w:before="206" w:beforeAutospacing="off" w:after="206" w:afterAutospacing="off" w:line="429" w:lineRule="auto"/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Recall our automotive case: Presenting features in V→K→A sequence outperformed auditory bombardment by 72% ([Client Org] field data). The critical insight: </w:t>
      </w:r>
      <w:r w:rsidRPr="7934D1DA" w:rsidR="7934D1D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Communication fails when sensory sequencing clashes with the recipient’s processing strategy</w:t>
      </w: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</w:t>
      </w:r>
    </w:p>
    <w:p xmlns:wp14="http://schemas.microsoft.com/office/word/2010/wordml" w:rsidP="7934D1DA" wp14:paraId="2D021D44" wp14:textId="4B6EDA7E">
      <w:pPr>
        <w:shd w:val="clear" w:color="auto" w:fill="FFFFFF" w:themeFill="background1"/>
        <w:spacing w:before="206" w:beforeAutospacing="off" w:after="206" w:afterAutospacing="off" w:line="429" w:lineRule="auto"/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Application domains demanding strategy mastery:</w:t>
      </w:r>
    </w:p>
    <w:p xmlns:wp14="http://schemas.microsoft.com/office/word/2010/wordml" w:rsidP="7934D1DA" wp14:paraId="3C9F1116" wp14:textId="755865F9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Negotiation choreography</w:t>
      </w:r>
    </w:p>
    <w:p xmlns:wp14="http://schemas.microsoft.com/office/word/2010/wordml" w:rsidP="7934D1DA" wp14:paraId="50C4CEB4" wp14:textId="3C5A7FB0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Change management implementation</w:t>
      </w:r>
    </w:p>
    <w:p xmlns:wp14="http://schemas.microsoft.com/office/word/2010/wordml" w:rsidP="7934D1DA" wp14:paraId="3852753F" wp14:textId="5A75D81C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Leadership communication</w:t>
      </w:r>
    </w:p>
    <w:p xmlns:wp14="http://schemas.microsoft.com/office/word/2010/wordml" w:rsidP="7934D1DA" wp14:paraId="331B6A52" wp14:textId="3D27F586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Client engagement systems</w:t>
      </w:r>
    </w:p>
    <w:p xmlns:wp14="http://schemas.microsoft.com/office/word/2010/wordml" w:rsidP="7934D1DA" wp14:paraId="4482C643" wp14:textId="44704274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Behavioral coaching protocols</w:t>
      </w:r>
    </w:p>
    <w:p xmlns:wp14="http://schemas.microsoft.com/office/word/2010/wordml" w:rsidP="7934D1DA" wp14:paraId="517DB213" wp14:textId="00AA990F">
      <w:pPr>
        <w:shd w:val="clear" w:color="auto" w:fill="FFFFFF" w:themeFill="background1"/>
        <w:spacing w:before="206" w:beforeAutospacing="off" w:after="206" w:afterAutospacing="off" w:line="429" w:lineRule="auto"/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Mastering strategy work delivers two irreversible shifts:</w:t>
      </w:r>
    </w:p>
    <w:p xmlns:wp14="http://schemas.microsoft.com/office/word/2010/wordml" w:rsidP="7934D1DA" wp14:paraId="1CCD03B8" wp14:textId="1BA3643E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Diagnostic Precision</w:t>
      </w: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Isolate the exact cognitive sequence generating any behavior</w:t>
      </w:r>
    </w:p>
    <w:p xmlns:wp14="http://schemas.microsoft.com/office/word/2010/wordml" w:rsidP="7934D1DA" wp14:paraId="62662B34" wp14:textId="22A23C42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34D1DA" w:rsidR="7934D1D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Intervention Accuracy</w:t>
      </w: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Modify or install strategies with surgical specificity</w:t>
      </w:r>
    </w:p>
    <w:p xmlns:wp14="http://schemas.microsoft.com/office/word/2010/wordml" w:rsidP="7934D1DA" wp14:paraId="6E2FE575" wp14:textId="23CE2C6F">
      <w:pPr>
        <w:shd w:val="clear" w:color="auto" w:fill="FFFFFF" w:themeFill="background1"/>
        <w:spacing w:before="206" w:beforeAutospacing="off" w:after="206" w:afterAutospacing="off" w:line="429" w:lineRule="auto"/>
      </w:pPr>
      <w:r w:rsidRPr="7934D1DA" w:rsidR="7934D1D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This isn’t psychology—it’s operational excellence for human systems.</w:t>
      </w:r>
    </w:p>
    <w:p xmlns:wp14="http://schemas.microsoft.com/office/word/2010/wordml" wp14:paraId="5E5787A5" wp14:textId="3EE2B581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6744255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7fa50b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64046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eb670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d7869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514B0B"/>
    <w:rsid w:val="47514B0B"/>
    <w:rsid w:val="7934D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14B0B"/>
  <w15:chartTrackingRefBased/>
  <w15:docId w15:val="{DC0C9815-30F6-4C77-8A2E-F3D3E43656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934D1D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de2c8d288f2b4e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2025-06-07T18:20:58.4061106Z</dcterms:created>
  <dcterms:modified xsi:type="dcterms:W3CDTF">2025-06-07T18:25:59.8574898Z</dcterms:modified>
</coreProperties>
</file>