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2D0209" wp14:paraId="5E5787A5" wp14:textId="4BF530B6">
      <w:pPr>
        <w:rPr>
          <w:rFonts w:ascii="Calibri" w:hAnsi="Calibri" w:eastAsia="Calibri" w:cs="Calibri"/>
          <w:noProof w:val="0"/>
          <w:sz w:val="22"/>
          <w:szCs w:val="22"/>
          <w:lang w:val="en-GB"/>
        </w:rPr>
      </w:pPr>
      <w:r w:rsidRPr="472D0209" w:rsidR="472D0209">
        <w:rPr>
          <w:rFonts w:ascii="system-ui" w:hAnsi="system-ui" w:eastAsia="system-ui" w:cs="system-ui"/>
          <w:b w:val="0"/>
          <w:bCs w:val="0"/>
          <w:i w:val="0"/>
          <w:iCs w:val="0"/>
          <w:caps w:val="0"/>
          <w:smallCaps w:val="0"/>
          <w:noProof w:val="0"/>
          <w:color w:val="404040" w:themeColor="text1" w:themeTint="BF" w:themeShade="FF"/>
          <w:sz w:val="24"/>
          <w:szCs w:val="24"/>
          <w:lang w:val="en-GB"/>
        </w:rPr>
        <w:t>While the classic six-step reframe delivers powerful results, we strategically refine this technique at the Master Practitioner level to prevent unintended identity fragmentation. Our enhanced methodology preserves the core functionality while integrating the individual's systemic alignment—removing "parts" language entirely. This upgrade ensures holistic benefit without compartmentalization risks.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D3924"/>
    <w:rsid w:val="279D3924"/>
    <w:rsid w:val="472D0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B6B1"/>
  <w15:chartTrackingRefBased/>
  <w15:docId w15:val="{7F8795A4-810B-4F4D-B190-2A6DEB3DBD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2025-06-07T18:01:46.6683863Z</dcterms:created>
  <dcterms:modified xsi:type="dcterms:W3CDTF">2025-06-07T18:18:25.5785910Z</dcterms:modified>
</coreProperties>
</file>