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9AA9DB" wp14:paraId="52FC9D74" wp14:textId="6CF8A040">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Welcome back. In this audio module, we’ll explore reframing. Having covered language patterns and anchoring, we now turn to systematically changing perspectives. Your agency expands with each new choice you cultivate. Limited options constrain outcomes—one choice isn’t true agency, while two often create dilemmas. We target three or more options to strategically achieve objectives.</w:t>
      </w:r>
    </w:p>
    <w:p xmlns:wp14="http://schemas.microsoft.com/office/word/2010/wordml" w:rsidP="569AA9DB" wp14:paraId="2EF283D5" wp14:textId="6C198299">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NLP equips you to operationalize choice expansion. Techniques you’ve already mastered allow you to unlock greater flexibility and surpass current performance benchmarks. By reframing challenges, you’ll engage more creative thinking.</w:t>
      </w:r>
    </w:p>
    <w:p xmlns:wp14="http://schemas.microsoft.com/office/word/2010/wordml" w:rsidP="569AA9DB" wp14:paraId="0D8C90A3" wp14:textId="6539CC30">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Any situation’s emotional impact derives from our assigned meaning. Shift the meaning, and you shift both the emotional response and subsequent behavior. Recall a past event where negative framing altered your response. Contrast this with how a positive internal representation would change future outcomes. Altering perspective transforms meaning—directly influencing actions. Through submodalities, you literally reprogram interpretations.</w:t>
      </w:r>
    </w:p>
    <w:p xmlns:wp14="http://schemas.microsoft.com/office/word/2010/wordml" w:rsidP="569AA9DB" wp14:paraId="7733205C" wp14:textId="0016C833">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Consider this corporate-aligned parallel: A farmer in an under-resourced village was deemed successful due to his horse—critical for logistics and operations. When it escaped, neighbors called it catastrophic. He responded: </w:t>
      </w:r>
      <w:r w:rsidRPr="569AA9DB" w:rsidR="569AA9DB">
        <w:rPr>
          <w:rFonts w:ascii="system-ui" w:hAnsi="system-ui" w:eastAsia="system-ui" w:cs="system-ui"/>
          <w:b w:val="0"/>
          <w:bCs w:val="0"/>
          <w:i w:val="1"/>
          <w:iCs w:val="1"/>
          <w:caps w:val="0"/>
          <w:smallCaps w:val="0"/>
          <w:noProof w:val="0"/>
          <w:color w:val="404040" w:themeColor="text1" w:themeTint="BF" w:themeShade="FF"/>
          <w:sz w:val="24"/>
          <w:szCs w:val="24"/>
          <w:lang w:val="en-GB"/>
        </w:rPr>
        <w:t>“Maybe.”</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The horse later returned with two wild counterparts. Neighbors celebrated his windfall. Again: </w:t>
      </w:r>
      <w:r w:rsidRPr="569AA9DB" w:rsidR="569AA9DB">
        <w:rPr>
          <w:rFonts w:ascii="system-ui" w:hAnsi="system-ui" w:eastAsia="system-ui" w:cs="system-ui"/>
          <w:b w:val="0"/>
          <w:bCs w:val="0"/>
          <w:i w:val="1"/>
          <w:iCs w:val="1"/>
          <w:caps w:val="0"/>
          <w:smallCaps w:val="0"/>
          <w:noProof w:val="0"/>
          <w:color w:val="404040" w:themeColor="text1" w:themeTint="BF" w:themeShade="FF"/>
          <w:sz w:val="24"/>
          <w:szCs w:val="24"/>
          <w:lang w:val="en-GB"/>
        </w:rPr>
        <w:t>“Maybe.”</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His son then fractured a leg attempting to tame one. Neighbors offered condolences. The farmer repeated: </w:t>
      </w:r>
      <w:r w:rsidRPr="569AA9DB" w:rsidR="569AA9DB">
        <w:rPr>
          <w:rFonts w:ascii="system-ui" w:hAnsi="system-ui" w:eastAsia="system-ui" w:cs="system-ui"/>
          <w:b w:val="0"/>
          <w:bCs w:val="0"/>
          <w:i w:val="1"/>
          <w:iCs w:val="1"/>
          <w:caps w:val="0"/>
          <w:smallCaps w:val="0"/>
          <w:noProof w:val="0"/>
          <w:color w:val="404040" w:themeColor="text1" w:themeTint="BF" w:themeShade="FF"/>
          <w:sz w:val="24"/>
          <w:szCs w:val="24"/>
          <w:lang w:val="en-GB"/>
        </w:rPr>
        <w:t>“Maybe.”</w:t>
      </w:r>
    </w:p>
    <w:p xmlns:wp14="http://schemas.microsoft.com/office/word/2010/wordml" w:rsidP="569AA9DB" wp14:paraId="7A5F1747" wp14:textId="4AAB4EEC">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Weeks later, military conscriptors rejected the son due to his injury. Neighbors declared his luck. The farmer’s response remained: </w:t>
      </w:r>
      <w:r w:rsidRPr="569AA9DB" w:rsidR="569AA9DB">
        <w:rPr>
          <w:rFonts w:ascii="system-ui" w:hAnsi="system-ui" w:eastAsia="system-ui" w:cs="system-ui"/>
          <w:b w:val="0"/>
          <w:bCs w:val="0"/>
          <w:i w:val="1"/>
          <w:iCs w:val="1"/>
          <w:caps w:val="0"/>
          <w:smallCaps w:val="0"/>
          <w:noProof w:val="0"/>
          <w:color w:val="404040" w:themeColor="text1" w:themeTint="BF" w:themeShade="FF"/>
          <w:sz w:val="24"/>
          <w:szCs w:val="24"/>
          <w:lang w:val="en-GB"/>
        </w:rPr>
        <w:t>“Maybe.”</w:t>
      </w:r>
    </w:p>
    <w:p xmlns:wp14="http://schemas.microsoft.com/office/word/2010/wordml" w:rsidP="569AA9DB" wp14:paraId="3FD1D39F" wp14:textId="22AE6878">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This illustrates core reframing: meaning depends entirely on contextual framing. Change the frame, and you redefine the event’s significance.</w:t>
      </w:r>
    </w:p>
    <w:p xmlns:wp14="http://schemas.microsoft.com/office/word/2010/wordml" w:rsidP="569AA9DB" wp14:paraId="77949E76" wp14:textId="38297F31">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1"/>
          <w:bCs w:val="1"/>
          <w:i w:val="0"/>
          <w:iCs w:val="0"/>
          <w:caps w:val="0"/>
          <w:smallCaps w:val="0"/>
          <w:noProof w:val="0"/>
          <w:color w:val="404040" w:themeColor="text1" w:themeTint="BF" w:themeShade="FF"/>
          <w:sz w:val="24"/>
          <w:szCs w:val="24"/>
          <w:lang w:val="en-GB"/>
        </w:rPr>
        <w:t>Professional context:</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A late-day client call interrupts relaxation (negative frame), yet for an isolated colleague, it’s connection (positive frame).</w:t>
      </w:r>
    </w:p>
    <w:p xmlns:wp14="http://schemas.microsoft.com/office/word/2010/wordml" w:rsidP="569AA9DB" wp14:paraId="48C9FEF8" wp14:textId="4D88E7C8">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1"/>
          <w:bCs w:val="1"/>
          <w:i w:val="0"/>
          <w:iCs w:val="0"/>
          <w:caps w:val="0"/>
          <w:smallCaps w:val="0"/>
          <w:noProof w:val="0"/>
          <w:color w:val="404040" w:themeColor="text1" w:themeTint="BF" w:themeShade="FF"/>
          <w:sz w:val="24"/>
          <w:szCs w:val="24"/>
          <w:lang w:val="en-GB"/>
        </w:rPr>
        <w:t>Sales application:</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Objections become opportunities to reframe client hesitations.</w:t>
      </w:r>
    </w:p>
    <w:p xmlns:wp14="http://schemas.microsoft.com/office/word/2010/wordml" w:rsidP="569AA9DB" wp14:paraId="552C315C" wp14:textId="727AE815">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1"/>
          <w:bCs w:val="1"/>
          <w:i w:val="0"/>
          <w:iCs w:val="0"/>
          <w:caps w:val="0"/>
          <w:smallCaps w:val="0"/>
          <w:noProof w:val="0"/>
          <w:color w:val="404040" w:themeColor="text1" w:themeTint="BF" w:themeShade="FF"/>
          <w:sz w:val="24"/>
          <w:szCs w:val="24"/>
          <w:lang w:val="en-GB"/>
        </w:rPr>
        <w:t>Operational lens:</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A team member’s injury is a setback (one frame) or talent reallocation opening (another frame).</w:t>
      </w:r>
    </w:p>
    <w:p xmlns:wp14="http://schemas.microsoft.com/office/word/2010/wordml" w:rsidP="569AA9DB" wp14:paraId="67CDB256" wp14:textId="7EE7CBC3">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1"/>
          <w:bCs w:val="1"/>
          <w:i w:val="0"/>
          <w:iCs w:val="0"/>
          <w:caps w:val="0"/>
          <w:smallCaps w:val="0"/>
          <w:noProof w:val="0"/>
          <w:color w:val="404040" w:themeColor="text1" w:themeTint="BF" w:themeShade="FF"/>
          <w:sz w:val="24"/>
          <w:szCs w:val="24"/>
          <w:lang w:val="en-GB"/>
        </w:rPr>
        <w:t>Corporate reframing:</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Market shifts aren’t threats—they’re innovation catalysts. A “problem” becomes a “strategic challenge.” Customer complaints transform into service-upgrade invitations.</w:t>
      </w:r>
    </w:p>
    <w:p xmlns:wp14="http://schemas.microsoft.com/office/word/2010/wordml" w:rsidP="569AA9DB" wp14:paraId="77DDD20D" wp14:textId="6AB635C9">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Apply temporal reframing to overload scenarios: Short-term pressure obscures long-term objectives. Recontextualize within quarterly goals, and overwhelm dissipates. Even commuting shifts meaning—David Sterling leveraged his 90-minute London transit to complete degree coursework. That travel became accredited learning time. Yours could be:</w:t>
      </w:r>
    </w:p>
    <w:p xmlns:wp14="http://schemas.microsoft.com/office/word/2010/wordml" w:rsidP="569AA9DB" wp14:paraId="48E21943" wp14:textId="01F44E13">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Market podcast immersion</w:t>
      </w:r>
    </w:p>
    <w:p xmlns:wp14="http://schemas.microsoft.com/office/word/2010/wordml" w:rsidP="569AA9DB" wp14:paraId="241B8CD7" wp14:textId="4DFE7CF7">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Strategic planning blocks</w:t>
      </w:r>
    </w:p>
    <w:p xmlns:wp14="http://schemas.microsoft.com/office/word/2010/wordml" w:rsidP="569AA9DB" wp14:paraId="136E1503" wp14:textId="2E6068B6">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Industry networking opportunities</w:t>
      </w:r>
    </w:p>
    <w:p xmlns:wp14="http://schemas.microsoft.com/office/word/2010/wordml" w:rsidP="569AA9DB" wp14:paraId="7819880B" wp14:textId="50F2AAED">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Creative project development</w:t>
      </w:r>
    </w:p>
    <w:p xmlns:wp14="http://schemas.microsoft.com/office/word/2010/wordml" w:rsidP="569AA9DB" wp14:paraId="0CF3B9A7" wp14:textId="14E21444">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Reframing commute logistics (relocating, hybrid arrangements) demonstrates practical control. This skill transforms therapeutic interventions, education, and routine tasks into engaging frameworks. Classic narratives like </w:t>
      </w:r>
      <w:r w:rsidRPr="569AA9DB" w:rsidR="569AA9DB">
        <w:rPr>
          <w:rFonts w:ascii="system-ui" w:hAnsi="system-ui" w:eastAsia="system-ui" w:cs="system-ui"/>
          <w:b w:val="0"/>
          <w:bCs w:val="0"/>
          <w:i w:val="1"/>
          <w:iCs w:val="1"/>
          <w:caps w:val="0"/>
          <w:smallCaps w:val="0"/>
          <w:noProof w:val="0"/>
          <w:color w:val="404040" w:themeColor="text1" w:themeTint="BF" w:themeShade="FF"/>
          <w:sz w:val="24"/>
          <w:szCs w:val="24"/>
          <w:lang w:val="en-GB"/>
        </w:rPr>
        <w:t>The Ugly Duckling</w:t>
      </w: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model this—shifting perceived weakness into competitive advantage.</w:t>
      </w:r>
    </w:p>
    <w:p xmlns:wp14="http://schemas.microsoft.com/office/word/2010/wordml" w:rsidP="569AA9DB" wp14:paraId="5C9BC822" wp14:textId="4785F5B3">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0"/>
          <w:bCs w:val="0"/>
          <w:i w:val="0"/>
          <w:iCs w:val="0"/>
          <w:caps w:val="0"/>
          <w:smallCaps w:val="0"/>
          <w:noProof w:val="0"/>
          <w:color w:val="404040" w:themeColor="text1" w:themeTint="BF" w:themeShade="FF"/>
          <w:sz w:val="24"/>
          <w:szCs w:val="24"/>
          <w:lang w:val="en-GB"/>
        </w:rPr>
        <w:t>Ultimately, reframing converts disempowering interpretations into motivational leverage. Master this, and you architect exponential choice generation.</w:t>
      </w:r>
    </w:p>
    <w:p xmlns:wp14="http://schemas.microsoft.com/office/word/2010/wordml" w:rsidP="569AA9DB" wp14:paraId="28BF6B2E" wp14:textId="3CE5A4F0">
      <w:pPr>
        <w:shd w:val="clear" w:color="auto" w:fill="FFFFFF" w:themeFill="background1"/>
        <w:spacing w:before="206" w:beforeAutospacing="off" w:after="206" w:afterAutospacing="off" w:line="429" w:lineRule="auto"/>
      </w:pPr>
      <w:r w:rsidRPr="569AA9DB" w:rsidR="569AA9DB">
        <w:rPr>
          <w:rFonts w:ascii="system-ui" w:hAnsi="system-ui" w:eastAsia="system-ui" w:cs="system-ui"/>
          <w:b w:val="1"/>
          <w:bCs w:val="1"/>
          <w:i w:val="0"/>
          <w:iCs w:val="0"/>
          <w:caps w:val="0"/>
          <w:smallCaps w:val="0"/>
          <w:noProof w:val="0"/>
          <w:color w:val="404040" w:themeColor="text1" w:themeTint="BF" w:themeShade="FF"/>
          <w:sz w:val="24"/>
          <w:szCs w:val="24"/>
          <w:lang w:val="en-GB"/>
        </w:rPr>
        <w:t>Now open your manual to page 67.</w:t>
      </w:r>
    </w:p>
    <w:p xmlns:wp14="http://schemas.microsoft.com/office/word/2010/wordml" wp14:paraId="59DA6CCF" wp14:textId="45326340"/>
    <w:p xmlns:wp14="http://schemas.microsoft.com/office/word/2010/wordml" wp14:paraId="5E5787A5" wp14:textId="6E8E5AC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e76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8a8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51568"/>
    <w:rsid w:val="05551568"/>
    <w:rsid w:val="569AA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1568"/>
  <w15:chartTrackingRefBased/>
  <w15:docId w15:val="{99AD0ADF-10A6-434C-B1E5-3FA17F2796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69AA9D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5000be6135942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2025-06-07T18:02:11.6007933Z</dcterms:created>
  <dcterms:modified xsi:type="dcterms:W3CDTF">2025-06-07T18:05:00.0347949Z</dcterms:modified>
</coreProperties>
</file>