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3D9B864" wp14:paraId="29E185D2" wp14:textId="2587AB36">
      <w:pPr>
        <w:shd w:val="clear" w:color="auto" w:fill="FFFFFF" w:themeFill="background1"/>
        <w:spacing w:before="0" w:beforeAutospacing="off" w:after="206" w:afterAutospacing="off" w:line="429" w:lineRule="auto"/>
      </w:pPr>
      <w:r w:rsidRPr="53D9B864" w:rsidR="53D9B864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Mastering Anchors: The Hidden Triggers That Shape Your Reality</w:t>
      </w:r>
    </w:p>
    <w:p xmlns:wp14="http://schemas.microsoft.com/office/word/2010/wordml" w:rsidP="53D9B864" wp14:paraId="22D0A5B1" wp14:textId="5C78D96A">
      <w:pPr>
        <w:shd w:val="clear" w:color="auto" w:fill="FFFFFF" w:themeFill="background1"/>
        <w:spacing w:before="206" w:beforeAutospacing="off" w:after="206" w:afterAutospacing="off" w:line="429" w:lineRule="auto"/>
      </w:pPr>
      <w:r w:rsidRPr="53D9B864" w:rsidR="53D9B864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What Exactly is an Anchor?</w:t>
      </w:r>
      <w:r>
        <w:br/>
      </w:r>
      <w:r w:rsidRPr="53D9B864" w:rsidR="53D9B86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An anchor is any sensory trigger—whether visual, auditory, tactile, or even a scent—that becomes wired to a specific emotional or behavioral response. Think of it as your brain’s autopilot:</w:t>
      </w:r>
    </w:p>
    <w:p xmlns:wp14="http://schemas.microsoft.com/office/word/2010/wordml" w:rsidP="53D9B864" wp14:paraId="7514990D" wp14:textId="7EEEE5B3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3D9B864" w:rsidR="53D9B864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That cologne smell</w:t>
      </w:r>
      <w:r w:rsidRPr="53D9B864" w:rsidR="53D9B86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that instantly transports you to a first love</w:t>
      </w:r>
    </w:p>
    <w:p xmlns:wp14="http://schemas.microsoft.com/office/word/2010/wordml" w:rsidP="53D9B864" wp14:paraId="31D8F82D" wp14:textId="1DAF4390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3D9B864" w:rsidR="53D9B864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 song’s first chord</w:t>
      </w:r>
      <w:r w:rsidRPr="53D9B864" w:rsidR="53D9B86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that floods you with nostalgia</w:t>
      </w:r>
    </w:p>
    <w:p xmlns:wp14="http://schemas.microsoft.com/office/word/2010/wordml" w:rsidP="53D9B864" wp14:paraId="0DAD4B56" wp14:textId="3599616F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3D9B864" w:rsidR="53D9B864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 colleague’s raised eyebrow</w:t>
      </w:r>
      <w:r w:rsidRPr="53D9B864" w:rsidR="53D9B86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that spikes your cortisol before they even speak</w:t>
      </w:r>
    </w:p>
    <w:p xmlns:wp14="http://schemas.microsoft.com/office/word/2010/wordml" w:rsidP="53D9B864" wp14:paraId="5E61D40C" wp14:textId="6B34A98B">
      <w:pPr>
        <w:shd w:val="clear" w:color="auto" w:fill="FFFFFF" w:themeFill="background1"/>
        <w:spacing w:before="206" w:beforeAutospacing="off" w:after="206" w:afterAutospacing="off" w:line="429" w:lineRule="auto"/>
      </w:pPr>
      <w:r w:rsidRPr="53D9B864" w:rsidR="53D9B86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These aren’t coincidences. They’re </w:t>
      </w:r>
      <w:r w:rsidRPr="53D9B864" w:rsidR="53D9B864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conditioned responses</w:t>
      </w:r>
      <w:r w:rsidRPr="53D9B864" w:rsidR="53D9B86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—and they govern everything from your habits to your decision-making.</w:t>
      </w:r>
    </w:p>
    <w:p xmlns:wp14="http://schemas.microsoft.com/office/word/2010/wordml" wp14:paraId="64E65E6B" wp14:textId="7546BFF5"/>
    <w:p xmlns:wp14="http://schemas.microsoft.com/office/word/2010/wordml" w:rsidP="53D9B864" wp14:paraId="6AE2364C" wp14:textId="58B3A6D5">
      <w:pPr>
        <w:shd w:val="clear" w:color="auto" w:fill="FFFFFF" w:themeFill="background1"/>
        <w:spacing w:before="206" w:beforeAutospacing="off" w:after="206" w:afterAutospacing="off" w:line="429" w:lineRule="auto"/>
      </w:pPr>
      <w:r w:rsidRPr="53D9B864" w:rsidR="53D9B864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 Neuroscience of Anchoring</w:t>
      </w:r>
    </w:p>
    <w:p xmlns:wp14="http://schemas.microsoft.com/office/word/2010/wordml" w:rsidP="53D9B864" wp14:paraId="3AFDDBA9" wp14:textId="07EEFA66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3D9B864" w:rsidR="53D9B864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Automaticity in Action</w:t>
      </w:r>
    </w:p>
    <w:p xmlns:wp14="http://schemas.microsoft.com/office/word/2010/wordml" w:rsidP="53D9B864" wp14:paraId="2A86FA61" wp14:textId="6014ACB6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3D9B864" w:rsidR="53D9B86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Traffic lights (red = stop without thought)</w:t>
      </w:r>
    </w:p>
    <w:p xmlns:wp14="http://schemas.microsoft.com/office/word/2010/wordml" w:rsidP="53D9B864" wp14:paraId="0B53BFEA" wp14:textId="6021EC99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3D9B864" w:rsidR="53D9B86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Brand marketing (Coca-Cola’s genius: pairing happiness anthems with their logo)</w:t>
      </w:r>
    </w:p>
    <w:p xmlns:wp14="http://schemas.microsoft.com/office/word/2010/wordml" w:rsidP="53D9B864" wp14:paraId="53CAA9FD" wp14:textId="3EA2670F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3D9B864" w:rsidR="53D9B86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Workplace dynamics (Your boss’s "We need to talk" tone triggering dread)</w:t>
      </w:r>
    </w:p>
    <w:p xmlns:wp14="http://schemas.microsoft.com/office/word/2010/wordml" w:rsidP="53D9B864" wp14:paraId="3CED7EEA" wp14:textId="6414EFD5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3D9B864" w:rsidR="53D9B864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Representational Systems</w:t>
      </w:r>
      <w:r>
        <w:br/>
      </w:r>
      <w:r w:rsidRPr="53D9B864" w:rsidR="53D9B86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Anchors operate through all sensory channels:</w:t>
      </w:r>
    </w:p>
    <w:p xmlns:wp14="http://schemas.microsoft.com/office/word/2010/wordml" w:rsidP="53D9B864" wp14:paraId="5D9F36FA" wp14:textId="7D28F539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3D9B864" w:rsidR="53D9B864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Visual</w:t>
      </w:r>
      <w:r w:rsidRPr="53D9B864" w:rsidR="53D9B86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 A Slack notification popping up → stress response</w:t>
      </w:r>
    </w:p>
    <w:p xmlns:wp14="http://schemas.microsoft.com/office/word/2010/wordml" w:rsidP="53D9B864" wp14:paraId="68DEDC29" wp14:textId="2316FC2D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3D9B864" w:rsidR="53D9B864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Auditory</w:t>
      </w:r>
      <w:r w:rsidRPr="53D9B864" w:rsidR="53D9B86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 Your name called in a crowd → instant focus shift</w:t>
      </w:r>
    </w:p>
    <w:p xmlns:wp14="http://schemas.microsoft.com/office/word/2010/wordml" w:rsidP="53D9B864" wp14:paraId="56DA1B9E" wp14:textId="2F1D1CA3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3D9B864" w:rsidR="53D9B864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Kinesthetic</w:t>
      </w:r>
      <w:r w:rsidRPr="53D9B864" w:rsidR="53D9B86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 The weight of your work laptop → "time to perform" mindset</w:t>
      </w:r>
    </w:p>
    <w:p xmlns:wp14="http://schemas.microsoft.com/office/word/2010/wordml" w:rsidP="53D9B864" wp14:paraId="565BBC16" wp14:textId="11620931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3D9B864" w:rsidR="53D9B864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 Dark Side of Anchors</w:t>
      </w:r>
      <w:r>
        <w:br/>
      </w:r>
      <w:r w:rsidRPr="53D9B864" w:rsidR="53D9B86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Phobias and trauma responses are extreme examples—</w:t>
      </w:r>
      <w:r w:rsidRPr="53D9B864" w:rsidR="53D9B864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single-event anchors</w:t>
      </w:r>
      <w:r w:rsidRPr="53D9B864" w:rsidR="53D9B86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with lifelong impact. But even subtle ones shape your daily performance:</w:t>
      </w:r>
    </w:p>
    <w:p xmlns:wp14="http://schemas.microsoft.com/office/word/2010/wordml" w:rsidP="53D9B864" wp14:paraId="4C6C0633" wp14:textId="50FD23F0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3D9B864" w:rsidR="53D9B86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Pre-meeting jitters (anchor: calendar reminder)</w:t>
      </w:r>
    </w:p>
    <w:p xmlns:wp14="http://schemas.microsoft.com/office/word/2010/wordml" w:rsidP="53D9B864" wp14:paraId="6BBEAFDA" wp14:textId="34374406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3D9B864" w:rsidR="53D9B86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Procrastination loops (anchor: opening your inbox)</w:t>
      </w:r>
    </w:p>
    <w:p xmlns:wp14="http://schemas.microsoft.com/office/word/2010/wordml" wp14:paraId="0D6A0FF8" wp14:textId="3ABEEB08"/>
    <w:p xmlns:wp14="http://schemas.microsoft.com/office/word/2010/wordml" w:rsidP="53D9B864" wp14:paraId="040F140C" wp14:textId="263FBB5C">
      <w:pPr>
        <w:shd w:val="clear" w:color="auto" w:fill="FFFFFF" w:themeFill="background1"/>
        <w:spacing w:before="206" w:beforeAutospacing="off" w:after="206" w:afterAutospacing="off" w:line="429" w:lineRule="auto"/>
      </w:pPr>
      <w:r w:rsidRPr="53D9B864" w:rsidR="53D9B864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 Watson-Pavlov Blueprint</w:t>
      </w:r>
      <w:r>
        <w:br/>
      </w:r>
      <w:r w:rsidRPr="53D9B864" w:rsidR="53D9B86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Modern behavioral science roots in two pioneers:</w:t>
      </w:r>
    </w:p>
    <w:p xmlns:wp14="http://schemas.microsoft.com/office/word/2010/wordml" w:rsidP="53D9B864" wp14:paraId="3C8BC011" wp14:textId="7A1B5184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3D9B864" w:rsidR="53D9B864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John B. Watson</w:t>
      </w:r>
      <w:r>
        <w:br/>
      </w:r>
      <w:r w:rsidRPr="53D9B864" w:rsidR="53D9B86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Proved learning = </w:t>
      </w:r>
      <w:r w:rsidRPr="53D9B864" w:rsidR="53D9B864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stimulus → response</w:t>
      </w:r>
      <w:r w:rsidRPr="53D9B864" w:rsidR="53D9B86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chains. Example:</w:t>
      </w:r>
    </w:p>
    <w:p xmlns:wp14="http://schemas.microsoft.com/office/word/2010/wordml" w:rsidP="53D9B864" wp14:paraId="79368A2D" wp14:textId="42B201EC">
      <w:pPr>
        <w:pStyle w:val="ListParagraph"/>
        <w:numPr>
          <w:ilvl w:val="1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3D9B864" w:rsidR="53D9B864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Stimulus</w:t>
      </w:r>
      <w:r w:rsidRPr="53D9B864" w:rsidR="53D9B86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 "What’s ‘thank you’ in French?"</w:t>
      </w:r>
    </w:p>
    <w:p xmlns:wp14="http://schemas.microsoft.com/office/word/2010/wordml" w:rsidP="53D9B864" wp14:paraId="707F5197" wp14:textId="1CD3627A">
      <w:pPr>
        <w:pStyle w:val="ListParagraph"/>
        <w:numPr>
          <w:ilvl w:val="1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3D9B864" w:rsidR="53D9B864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Response</w:t>
      </w:r>
      <w:r w:rsidRPr="53D9B864" w:rsidR="53D9B86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 Initially blank → through repetition → automatic "merci"</w:t>
      </w:r>
    </w:p>
    <w:p xmlns:wp14="http://schemas.microsoft.com/office/word/2010/wordml" w:rsidP="53D9B864" wp14:paraId="40BCA29F" wp14:textId="0515746B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3D9B864" w:rsidR="53D9B864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Pavlov’s Dogs (The Original Anchor Hack)</w:t>
      </w:r>
    </w:p>
    <w:p xmlns:wp14="http://schemas.microsoft.com/office/word/2010/wordml" w:rsidP="53D9B864" wp14:paraId="5561966A" wp14:textId="3DAF7680">
      <w:pPr>
        <w:pStyle w:val="ListParagraph"/>
        <w:numPr>
          <w:ilvl w:val="1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3D9B864" w:rsidR="53D9B864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Neutral stimulus</w:t>
      </w:r>
      <w:r w:rsidRPr="53D9B864" w:rsidR="53D9B86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 Bell → no reaction</w:t>
      </w:r>
    </w:p>
    <w:p xmlns:wp14="http://schemas.microsoft.com/office/word/2010/wordml" w:rsidP="53D9B864" wp14:paraId="7DDCBBA3" wp14:textId="7C7CEF1F">
      <w:pPr>
        <w:pStyle w:val="ListParagraph"/>
        <w:numPr>
          <w:ilvl w:val="1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3D9B864" w:rsidR="53D9B864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Pairing</w:t>
      </w:r>
      <w:r w:rsidRPr="53D9B864" w:rsidR="53D9B86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 Bell + food → salivation</w:t>
      </w:r>
    </w:p>
    <w:p xmlns:wp14="http://schemas.microsoft.com/office/word/2010/wordml" w:rsidP="53D9B864" wp14:paraId="5A10EAC9" wp14:textId="126EB474">
      <w:pPr>
        <w:pStyle w:val="ListParagraph"/>
        <w:numPr>
          <w:ilvl w:val="1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3D9B864" w:rsidR="53D9B864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Result</w:t>
      </w:r>
      <w:r w:rsidRPr="53D9B864" w:rsidR="53D9B86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 Bell alone → salivation</w:t>
      </w:r>
    </w:p>
    <w:p xmlns:wp14="http://schemas.microsoft.com/office/word/2010/wordml" w:rsidP="53D9B864" wp14:paraId="463FBC35" wp14:textId="42B67228">
      <w:pPr>
        <w:shd w:val="clear" w:color="auto" w:fill="FFFFFF" w:themeFill="background1"/>
        <w:spacing w:before="206" w:beforeAutospacing="off" w:after="206" w:afterAutospacing="off" w:line="429" w:lineRule="auto"/>
      </w:pPr>
      <w:r w:rsidRPr="53D9B864" w:rsidR="53D9B864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Corporate Translation</w:t>
      </w:r>
      <w:r w:rsidRPr="53D9B864" w:rsidR="53D9B86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</w:t>
      </w:r>
      <w:r>
        <w:br/>
      </w:r>
      <w:r w:rsidRPr="53D9B864" w:rsidR="53D9B86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Your quarterly KPIs report (neutral) → repeatedly paired with leadership praise → soon, the </w:t>
      </w:r>
      <w:r w:rsidRPr="53D9B864" w:rsidR="53D9B864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sight of the report</w:t>
      </w:r>
      <w:r w:rsidRPr="53D9B864" w:rsidR="53D9B86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triggers pride (or anxiety).</w:t>
      </w:r>
    </w:p>
    <w:p xmlns:wp14="http://schemas.microsoft.com/office/word/2010/wordml" wp14:paraId="2175C7C7" wp14:textId="7289E722"/>
    <w:p xmlns:wp14="http://schemas.microsoft.com/office/word/2010/wordml" w:rsidP="53D9B864" wp14:paraId="07B70E4C" wp14:textId="0974AECC">
      <w:pPr>
        <w:shd w:val="clear" w:color="auto" w:fill="FFFFFF" w:themeFill="background1"/>
        <w:spacing w:before="206" w:beforeAutospacing="off" w:after="206" w:afterAutospacing="off" w:line="429" w:lineRule="auto"/>
      </w:pPr>
      <w:r w:rsidRPr="53D9B864" w:rsidR="53D9B864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Why Anchors Matter for High Performers</w:t>
      </w:r>
    </w:p>
    <w:p xmlns:wp14="http://schemas.microsoft.com/office/word/2010/wordml" w:rsidP="53D9B864" wp14:paraId="6174DD62" wp14:textId="3F8D6B0A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3D9B864" w:rsidR="53D9B864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Immunity Hack</w:t>
      </w:r>
      <w:r w:rsidRPr="53D9B864" w:rsidR="53D9B86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 Chronic stress anchors weaken disease resistance (Harvard studies confirm this mind-body link)</w:t>
      </w:r>
    </w:p>
    <w:p xmlns:wp14="http://schemas.microsoft.com/office/word/2010/wordml" w:rsidP="53D9B864" wp14:paraId="521CD488" wp14:textId="299475AF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3D9B864" w:rsidR="53D9B864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Leadership Lever</w:t>
      </w:r>
      <w:r w:rsidRPr="53D9B864" w:rsidR="53D9B86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 Your team mirrors your state—arrive frustrated, and you’ve set the room’s anchor</w:t>
      </w:r>
    </w:p>
    <w:p xmlns:wp14="http://schemas.microsoft.com/office/word/2010/wordml" w:rsidP="53D9B864" wp14:paraId="6B29CD7A" wp14:textId="7D4D1057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3D9B864" w:rsidR="53D9B864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Freedom Formula</w:t>
      </w:r>
      <w:r w:rsidRPr="53D9B864" w:rsidR="53D9B86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 Awareness → Choice. Example:</w:t>
      </w:r>
    </w:p>
    <w:p xmlns:wp14="http://schemas.microsoft.com/office/word/2010/wordml" w:rsidP="53D9B864" wp14:paraId="4F97BE47" wp14:textId="4BF19C58">
      <w:pPr>
        <w:pStyle w:val="ListParagraph"/>
        <w:numPr>
          <w:ilvl w:val="1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3D9B864" w:rsidR="53D9B864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Old pattern</w:t>
      </w:r>
      <w:r w:rsidRPr="53D9B864" w:rsidR="53D9B86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 Critical email → defensiveness</w:t>
      </w:r>
    </w:p>
    <w:p xmlns:wp14="http://schemas.microsoft.com/office/word/2010/wordml" w:rsidP="53D9B864" wp14:paraId="3165A7A2" wp14:textId="726CF6CA">
      <w:pPr>
        <w:pStyle w:val="ListParagraph"/>
        <w:numPr>
          <w:ilvl w:val="1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3D9B864" w:rsidR="53D9B864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Rewired</w:t>
      </w:r>
      <w:r w:rsidRPr="53D9B864" w:rsidR="53D9B86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 Critical email → trigger deep breath → respond strategically</w:t>
      </w:r>
    </w:p>
    <w:p xmlns:wp14="http://schemas.microsoft.com/office/word/2010/wordml" w:rsidP="53D9B864" wp14:paraId="314657DB" wp14:textId="4E47D264">
      <w:pPr>
        <w:shd w:val="clear" w:color="auto" w:fill="FFFFFF" w:themeFill="background1"/>
        <w:spacing w:before="206" w:beforeAutospacing="off" w:after="206" w:afterAutospacing="off" w:line="429" w:lineRule="auto"/>
      </w:pPr>
      <w:r w:rsidRPr="53D9B864" w:rsidR="53D9B864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Your Anchoring Toolkit (Preview)</w:t>
      </w:r>
      <w:r>
        <w:br/>
      </w:r>
      <w:r w:rsidRPr="53D9B864" w:rsidR="53D9B86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Next, we’ll decode:</w:t>
      </w:r>
      <w:r>
        <w:br/>
      </w:r>
      <w:r w:rsidRPr="53D9B864" w:rsidR="53D9B86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✅ </w:t>
      </w:r>
      <w:r w:rsidRPr="53D9B864" w:rsidR="53D9B864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How to install success anchors</w:t>
      </w:r>
      <w:r w:rsidRPr="53D9B864" w:rsidR="53D9B86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(e.g., pre-presentation rituals)</w:t>
      </w:r>
      <w:r>
        <w:br/>
      </w:r>
      <w:r w:rsidRPr="53D9B864" w:rsidR="53D9B86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✅ </w:t>
      </w:r>
      <w:r w:rsidRPr="53D9B864" w:rsidR="53D9B864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Collapsing negative anchors</w:t>
      </w:r>
      <w:r w:rsidRPr="53D9B864" w:rsidR="53D9B86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(e.g., reframing "feedback fear")</w:t>
      </w:r>
      <w:r>
        <w:br/>
      </w:r>
      <w:r w:rsidRPr="53D9B864" w:rsidR="53D9B86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✅ </w:t>
      </w:r>
      <w:r w:rsidRPr="53D9B864" w:rsidR="53D9B864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Ethical influence</w:t>
      </w:r>
      <w:r w:rsidRPr="53D9B864" w:rsidR="53D9B86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(setting resourceful anchors for teams)</w:t>
      </w:r>
    </w:p>
    <w:p xmlns:wp14="http://schemas.microsoft.com/office/word/2010/wordml" wp14:paraId="5E5787A5" wp14:textId="3EF1E117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131d42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d71d8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d1156c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171097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82843C"/>
    <w:rsid w:val="53D9B864"/>
    <w:rsid w:val="58828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2843C"/>
  <w15:chartTrackingRefBased/>
  <w15:docId w15:val="{65D3A9E2-188A-4617-8BB3-2FA45895823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53D9B864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f972d54e201b4bb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Muhammad Suleman Mushtaq</dc:creator>
  <keywords/>
  <dc:description/>
  <lastModifiedBy>Muhammad Suleman Mushtaq</lastModifiedBy>
  <revision>2</revision>
  <dcterms:created xsi:type="dcterms:W3CDTF">2025-06-07T17:31:00.0915219Z</dcterms:created>
  <dcterms:modified xsi:type="dcterms:W3CDTF">2025-06-07T17:36:00.5429230Z</dcterms:modified>
</coreProperties>
</file>