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44" w:rsidRDefault="005C2C44" w:rsidP="005C2C44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Let's address excellence—the core ROI of your NLP investment. You're here to master these skills for personal and professional transformation. Consider this: Would you choose a neurosurgeon who delivered bare-minimum effort? Similarly, clients deserve practitioners operating at peak competency. David Sterling's core mission is to help you operationalize excellence—achieving consistent, extraordinary outcomes.</w:t>
      </w:r>
    </w:p>
    <w:p w:rsidR="005C2C44" w:rsidRDefault="005C2C44" w:rsidP="005C2C44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Ely Wellbeing’s</w:t>
      </w:r>
      <w:bookmarkStart w:id="0" w:name="_GoBack"/>
      <w:bookmarkEnd w:id="0"/>
      <w:r>
        <w:rPr>
          <w:rFonts w:ascii="Segoe UI" w:hAnsi="Segoe UI" w:cs="Segoe UI"/>
          <w:color w:val="404040"/>
        </w:rPr>
        <w:t xml:space="preserve"> alumni consistently report breakthrough results post-training. As you progress through this audio module series, commit to full immersion. Invest 100% focus during study sessions, practice labs, and client simulations. Excellence compounds when you treat skill development as continuous: What advanced literature will you integrate? Which practice cohorts will join? What mastery-level modules follow this foundation?</w:t>
      </w:r>
    </w:p>
    <w:p w:rsidR="005C2C44" w:rsidRDefault="005C2C44" w:rsidP="005C2C44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You'll acquire transformative frameworks and precision communication tools throughout this journey. Remember: Sustainable excellence requires deliberate repetition. Track your evolution through NLP's competency matrix:</w:t>
      </w:r>
    </w:p>
    <w:p w:rsidR="005C2C44" w:rsidRDefault="005C2C44" w:rsidP="005C2C4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Strong"/>
          <w:rFonts w:ascii="Segoe UI" w:hAnsi="Segoe UI" w:cs="Segoe UI"/>
          <w:color w:val="404040"/>
        </w:rPr>
        <w:t>Unconscious Incompetence</w:t>
      </w:r>
      <w:r>
        <w:rPr>
          <w:rFonts w:ascii="Segoe UI" w:hAnsi="Segoe UI" w:cs="Segoe UI"/>
          <w:color w:val="404040"/>
        </w:rPr>
        <w:br/>
        <w:t>Baseline: Unaware of skill gaps</w:t>
      </w:r>
    </w:p>
    <w:p w:rsidR="005C2C44" w:rsidRDefault="005C2C44" w:rsidP="005C2C4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Strong"/>
          <w:rFonts w:ascii="Segoe UI" w:hAnsi="Segoe UI" w:cs="Segoe UI"/>
          <w:color w:val="404040"/>
        </w:rPr>
        <w:t>Conscious Incompetence</w:t>
      </w:r>
      <w:r>
        <w:rPr>
          <w:rFonts w:ascii="Segoe UI" w:hAnsi="Segoe UI" w:cs="Segoe UI"/>
          <w:color w:val="404040"/>
        </w:rPr>
        <w:br/>
        <w:t>Breakthrough: Recognizing development areas</w:t>
      </w:r>
    </w:p>
    <w:p w:rsidR="005C2C44" w:rsidRDefault="005C2C44" w:rsidP="005C2C4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Strong"/>
          <w:rFonts w:ascii="Segoe UI" w:hAnsi="Segoe UI" w:cs="Segoe UI"/>
          <w:color w:val="404040"/>
        </w:rPr>
        <w:t>Conscious Competence</w:t>
      </w:r>
      <w:r>
        <w:rPr>
          <w:rFonts w:ascii="Segoe UI" w:hAnsi="Segoe UI" w:cs="Segoe UI"/>
          <w:color w:val="404040"/>
        </w:rPr>
        <w:br/>
        <w:t>Implementation: Executing techniques with focused attention (e.g., mastering manual transmission while driving)</w:t>
      </w:r>
    </w:p>
    <w:p w:rsidR="005C2C44" w:rsidRDefault="005C2C44" w:rsidP="005C2C4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Strong"/>
          <w:rFonts w:ascii="Segoe UI" w:hAnsi="Segoe UI" w:cs="Segoe UI"/>
          <w:color w:val="404040"/>
        </w:rPr>
        <w:t>Unconscious Competence</w:t>
      </w:r>
      <w:r>
        <w:rPr>
          <w:rFonts w:ascii="Segoe UI" w:hAnsi="Segoe UI" w:cs="Segoe UI"/>
          <w:color w:val="404040"/>
        </w:rPr>
        <w:br/>
        <w:t>Mastery: Fluid application without cognitive load</w:t>
      </w:r>
    </w:p>
    <w:p w:rsidR="005C2C44" w:rsidRDefault="005C2C44" w:rsidP="005C2C44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David Sterling will provide curated resource guidance—from essential literature to practice groups—ensuring your progression beyond this training. Excellence isn't an endpoint; it's your professional signature.</w:t>
      </w:r>
    </w:p>
    <w:p w:rsidR="00002558" w:rsidRDefault="00002558"/>
    <w:sectPr w:rsidR="00002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F0460"/>
    <w:multiLevelType w:val="multilevel"/>
    <w:tmpl w:val="26F2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44"/>
    <w:rsid w:val="00002558"/>
    <w:rsid w:val="005C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7F3EE85-94C0-4A88-971E-30FEA073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5C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5C2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Parmalat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Parmalat</dc:creator>
  <cp:keywords/>
  <dc:description/>
  <cp:lastModifiedBy>Parmalat</cp:lastModifiedBy>
  <cp:revision>1</cp:revision>
  <dcterms:created xsi:type="dcterms:W3CDTF">2025-06-06T11:11:00Z</dcterms:created>
  <dcterms:modified xsi:type="dcterms:W3CDTF">2025-06-06T11:13:00Z</dcterms:modified>
</cp:coreProperties>
</file>